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41" w:rsidRDefault="00DD5241">
      <w:pPr>
        <w:pStyle w:val="af2"/>
        <w:jc w:val="right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p w:rsidR="00DD5241" w:rsidRDefault="00EC31B7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DD5241" w:rsidRDefault="00EC31B7">
      <w:pPr>
        <w:pStyle w:val="af2"/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>договоров аренды земельных участков с кадастровыми номерами 71:14:030701:76, 71:14:030345:352, 71:14:040501:2407, 71:30:030302:663</w:t>
      </w:r>
    </w:p>
    <w:p w:rsidR="00DD5241" w:rsidRDefault="00DD5241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Комитет имущественных и земельных </w:t>
      </w:r>
      <w:r>
        <w:rPr>
          <w:rFonts w:ascii="PT Astra Serif" w:hAnsi="PT Astra Serif"/>
          <w:color w:val="000000"/>
          <w:sz w:val="24"/>
          <w:szCs w:val="24"/>
        </w:rPr>
        <w:t>отношений администрации города Тулы (ИНН 7102005410).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5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DD5241" w:rsidRDefault="00EC31B7">
      <w:pPr>
        <w:pStyle w:val="af2"/>
        <w:ind w:firstLine="737"/>
      </w:pPr>
      <w:proofErr w:type="spellStart"/>
      <w:r>
        <w:rPr>
          <w:rFonts w:ascii="PT Astra Serif" w:hAnsi="PT Astra Serif"/>
          <w:color w:val="000000"/>
          <w:sz w:val="24"/>
          <w:szCs w:val="24"/>
        </w:rPr>
        <w:t>Лепилова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Елена Николаевна – консультант от</w:t>
      </w:r>
      <w:r>
        <w:rPr>
          <w:rFonts w:ascii="PT Astra Serif" w:hAnsi="PT Astra Serif"/>
          <w:color w:val="000000"/>
          <w:sz w:val="24"/>
          <w:szCs w:val="24"/>
        </w:rPr>
        <w:t>дела проведения торгов комитета имущественных и земельных отношений администрации города Тулы.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7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информацион</w:t>
      </w:r>
      <w:r>
        <w:rPr>
          <w:rFonts w:ascii="PT Astra Serif" w:hAnsi="PT Astra Serif"/>
          <w:color w:val="000000"/>
          <w:sz w:val="24"/>
          <w:szCs w:val="24"/>
        </w:rPr>
        <w:t>но-телекоммуникационной сети «Интернет».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Адрес: 119435, г. Москва, Большой Саввинский переулок, д. 12, стр. 9, </w:t>
      </w:r>
      <w:r>
        <w:rPr>
          <w:rFonts w:ascii="PT Astra Serif" w:hAnsi="PT Astra Serif"/>
          <w:color w:val="000000"/>
          <w:sz w:val="24"/>
          <w:szCs w:val="24"/>
        </w:rPr>
        <w:br/>
        <w:t>тел. 8 (495) 787-29-97.</w:t>
      </w:r>
    </w:p>
    <w:p w:rsidR="00DD5241" w:rsidRDefault="00EC31B7">
      <w:pPr>
        <w:pStyle w:val="af2"/>
        <w:ind w:firstLine="737"/>
        <w:rPr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8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DD5241" w:rsidRDefault="00EC31B7">
      <w:pPr>
        <w:pStyle w:val="af2"/>
        <w:ind w:firstLine="737"/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Адрес электронной площадки в </w:t>
      </w:r>
      <w:r>
        <w:rPr>
          <w:rFonts w:ascii="PT Astra Serif" w:eastAsia="Calibri" w:hAnsi="PT Astra Serif"/>
          <w:color w:val="000000"/>
          <w:sz w:val="24"/>
          <w:szCs w:val="24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9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</w:t>
      </w:r>
      <w:r>
        <w:rPr>
          <w:rFonts w:ascii="PT Astra Serif" w:hAnsi="PT Astra Serif"/>
          <w:color w:val="000000"/>
          <w:sz w:val="24"/>
          <w:szCs w:val="24"/>
        </w:rPr>
        <w:t>д Тула, ул. Гоголевская, 73, тел. +7 (4872) 52-07-00.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08.04.2026 № 1/2441-р «О проведении аукциона на право заключения договора аренды земельного у</w:t>
      </w:r>
      <w:r>
        <w:rPr>
          <w:rFonts w:ascii="PT Astra Serif" w:hAnsi="PT Astra Serif"/>
          <w:color w:val="000000"/>
          <w:sz w:val="24"/>
          <w:szCs w:val="24"/>
        </w:rPr>
        <w:t>частка с кадастровым номером 71:14:030701:76», от 08.04.2026 № 1/2442-р «О проведении аукциона на право заключения договора аренды земельного участка с кадастровым номером 71:14:030345:352», от 09.04.2026 № 1/2488-р «О проведении аукциона на право заключен</w:t>
      </w:r>
      <w:r>
        <w:rPr>
          <w:rFonts w:ascii="PT Astra Serif" w:hAnsi="PT Astra Serif"/>
          <w:color w:val="000000"/>
          <w:sz w:val="24"/>
          <w:szCs w:val="24"/>
        </w:rPr>
        <w:t>ия договора аренды земельного участка с кадастровым номером 71:14:040501:2407», от 13.04.2026 № 1/2588-р «О проведении аукциона на право заключения договора аренды земельного участка с кадастровым номером 71:30:030302:663».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элект</w:t>
      </w:r>
      <w:r>
        <w:rPr>
          <w:rFonts w:ascii="PT Astra Serif" w:hAnsi="PT Astra Serif"/>
          <w:color w:val="000000"/>
          <w:sz w:val="24"/>
          <w:szCs w:val="24"/>
        </w:rPr>
        <w:t>ронная площадка АО «Сбербанк - АСТ» (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DD5241" w:rsidRDefault="00EC31B7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DD5241" w:rsidRDefault="00EC31B7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«22» мая 2026 г.</w:t>
      </w:r>
    </w:p>
    <w:p w:rsidR="00DD5241" w:rsidRDefault="00EC31B7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«23» мая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DD5241" w:rsidRDefault="00EC31B7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«08» июня 2026 г. в 12 час. 00 ми</w:t>
      </w:r>
      <w:r>
        <w:rPr>
          <w:rFonts w:ascii="PT Astra Serif" w:hAnsi="PT Astra Serif"/>
          <w:bCs/>
          <w:color w:val="000000"/>
          <w:sz w:val="24"/>
          <w:szCs w:val="24"/>
        </w:rPr>
        <w:t>н.</w:t>
      </w:r>
    </w:p>
    <w:p w:rsidR="00DD5241" w:rsidRDefault="00EC31B7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«09» июня 2026 г.</w:t>
      </w:r>
    </w:p>
    <w:p w:rsidR="00DD5241" w:rsidRDefault="00EC31B7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«10» июня 2026 г. в 11 ч. 00 мин.</w:t>
      </w:r>
    </w:p>
    <w:p w:rsidR="00DD5241" w:rsidRDefault="00DD5241">
      <w:pPr>
        <w:pStyle w:val="af2"/>
        <w:rPr>
          <w:b/>
          <w:bCs/>
        </w:rPr>
      </w:pPr>
      <w:bookmarkStart w:id="1" w:name="_GoBack_Копия_1"/>
      <w:bookmarkEnd w:id="1"/>
    </w:p>
    <w:p w:rsidR="00DD5241" w:rsidRDefault="00EC31B7">
      <w:pPr>
        <w:pStyle w:val="af2"/>
        <w:ind w:firstLine="737"/>
        <w:rPr>
          <w:b/>
          <w:bCs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Предмет аукциона: </w:t>
      </w:r>
    </w:p>
    <w:tbl>
      <w:tblPr>
        <w:tblW w:w="95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15"/>
        <w:gridCol w:w="5970"/>
      </w:tblGrid>
      <w:tr w:rsidR="00DD5241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1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71:14:030701:76,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площадью 1 500 кв. м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Тульская, р-н Ленинский, в 800м на северо-запад от ориентира: с/п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д.Кишкино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водокачка; Тульская обл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., Ленинский р-н, с/п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Кишкино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участок 169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143 200,41 (Сто сорок три тысячи двести) рублей 41 копейка</w:t>
            </w:r>
          </w:p>
          <w:p w:rsidR="00DD5241" w:rsidRDefault="00DD5241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DD5241" w:rsidRDefault="00DD5241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143 200,41 (Сто сорок три тысячи двести) рублей 4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1 копейка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r>
              <w:rPr>
                <w:rFonts w:ascii="PT Astra Serif" w:hAnsi="PT Astra Serif"/>
                <w:color w:val="000000"/>
              </w:rPr>
              <w:t>4 296,01 (четыре тысячи двести девяносто шесть) рублей 01 копейка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выписка из ЕГРН от 18.05.2026 № КУВИ-001/2026-67531459 – Приложение 3;</w:t>
            </w:r>
          </w:p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РФ-71-2-26-0-00-2025-4898-0 – Приложение 7.</w:t>
            </w:r>
          </w:p>
        </w:tc>
      </w:tr>
      <w:tr w:rsidR="00DD5241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2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71:14:030345:352, площадью 303 кв. м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Муниципальное образование город Тула,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Горюшино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южнее земельного участка с кадастровым номером 71:14:030345:70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34 529,08 (Тридцать четыре тысячи пятьсот двадцать девять) рублей 08 копеек</w:t>
            </w:r>
          </w:p>
          <w:p w:rsidR="00DD5241" w:rsidRDefault="00DD5241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34 529,08 (Три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дцать четыре тысячи пятьсот двадцать девять) рублей 08 копеек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1 035,87 (Одна тысяча тридцать пять) рублей 87 копеек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выписка из ЕГРН от 18.05.2026 № КУВИ-001/2026-67531647 –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Приложение 4;</w:t>
            </w: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РФ-71-2-26-0-00-2025-4931-0 – Приложение 8.</w:t>
            </w:r>
          </w:p>
        </w:tc>
      </w:tr>
      <w:tr w:rsidR="00DD5241">
        <w:trPr>
          <w:trHeight w:val="225"/>
        </w:trPr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DD5241">
            <w:pPr>
              <w:pStyle w:val="af2"/>
              <w:jc w:val="left"/>
              <w:rPr>
                <w:sz w:val="24"/>
                <w:szCs w:val="24"/>
              </w:rPr>
            </w:pP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3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71:14:040501:2407, площадью 1 036 кв. м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образование город Тула, село Рассвет, севернее земельного участка с кадастровым номером 71:14:040501:489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DD5241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430 646,41 (Четыреста тридцать тысяч шестьсот сорок шесть) рублей 41 копейка</w:t>
            </w:r>
          </w:p>
          <w:p w:rsidR="00DD5241" w:rsidRDefault="00DD5241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Сумма задатка в размере 100% от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430 646,41 (Четыреста тридцать тысяч шестьсот сорок шесть) рублей 41 копейка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12 919,39 (Двенадцать тысяч девятьсот девятнадцать) рублей 39 копеек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выписка из ЕГРН от 18.05.2026 № КУВИ-001/2026-67531848 – Приложение 5;</w:t>
            </w: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РФ-71-2-26-0-00-2025-4969-0 – Приложение 9.</w:t>
            </w:r>
          </w:p>
        </w:tc>
      </w:tr>
      <w:tr w:rsidR="00DD5241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4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71:30:030302:663, площадью 1 500 кв. м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Тульская область, г. Тула, ул. 1-ая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Криволученская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, муниципальное образование город Тула, Пролетарский район, ул. 1-ая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Криволученская</w:t>
            </w:r>
            <w:proofErr w:type="spellEnd"/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DD5241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ля индивидуального жилищного строительства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588 732,46 (Пятьсот восемьдесят восемь тысяч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семьсот тридцать два) рубля 46 копеек</w:t>
            </w:r>
          </w:p>
          <w:p w:rsidR="00DD5241" w:rsidRDefault="00DD5241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588 732,46 (Пятьсот восемьдесят восемь тысяч семьсот тридцать два) рубля 46 копеек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17 661,97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(Семнадцать тысяч шестьсот шестьдесят один) рубль 97 копеек</w:t>
            </w:r>
          </w:p>
        </w:tc>
      </w:tr>
      <w:tr w:rsidR="00DD524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выписка из ЕГРН от 18.05.2026 № КУВИ-001/2026-67532363 – Приложение 6;</w:t>
            </w:r>
          </w:p>
          <w:p w:rsidR="00DD5241" w:rsidRDefault="00EC31B7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РФ-71-2-26-0-00-2025-4854-0 – Приложение 10.</w:t>
            </w:r>
          </w:p>
        </w:tc>
      </w:tr>
    </w:tbl>
    <w:p w:rsidR="00DD5241" w:rsidRDefault="00DD5241">
      <w:pPr>
        <w:rPr>
          <w:rFonts w:ascii="PT Astra Serif" w:hAnsi="PT Astra Serif"/>
          <w:color w:val="000000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1,2,3,4: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</w:t>
      </w:r>
      <w:r>
        <w:rPr>
          <w:rFonts w:ascii="PT Astra Serif" w:hAnsi="PT Astra Serif"/>
          <w:color w:val="000000"/>
          <w:sz w:val="24"/>
          <w:szCs w:val="24"/>
        </w:rPr>
        <w:t>нную заявку на участие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</w:t>
      </w:r>
      <w:r>
        <w:rPr>
          <w:rFonts w:ascii="PT Astra Serif" w:hAnsi="PT Astra Serif"/>
          <w:color w:val="000000"/>
          <w:sz w:val="24"/>
          <w:szCs w:val="24"/>
        </w:rPr>
        <w:t xml:space="preserve">а, либо заявителем, признанным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единственным участником аукциона, либо единственным принявшим участие в аукционе участником (далее - Арендатор).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Задаток, внесенный лицом, признанным победителем аукциона, или иным лицом, с которым заключается договор аренды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</w:t>
      </w:r>
      <w:r>
        <w:rPr>
          <w:rFonts w:ascii="PT Astra Serif" w:hAnsi="PT Astra Serif"/>
          <w:color w:val="000000"/>
          <w:sz w:val="24"/>
          <w:szCs w:val="24"/>
        </w:rPr>
        <w:t>дный платеж производится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</w:t>
      </w:r>
      <w:r>
        <w:rPr>
          <w:rFonts w:ascii="PT Astra Serif" w:hAnsi="PT Astra Serif"/>
          <w:color w:val="000000"/>
          <w:sz w:val="24"/>
          <w:szCs w:val="24"/>
        </w:rPr>
        <w:t>нем государственной регистрации договора.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Обязанность Арендатора по оплате арендной платы считается надлежащим образом исполненной с д</w:t>
      </w:r>
      <w:r>
        <w:rPr>
          <w:rFonts w:ascii="PT Astra Serif" w:hAnsi="PT Astra Serif"/>
          <w:color w:val="000000"/>
          <w:sz w:val="24"/>
          <w:szCs w:val="24"/>
        </w:rPr>
        <w:t>аты зачисления в полном объеме денежных средств на счет Арендодателя, указанный в договоре аренды.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договора аренды земельного участка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порядке, предусмотренном Граждан</w:t>
      </w:r>
      <w:r>
        <w:rPr>
          <w:rFonts w:ascii="PT Astra Serif" w:hAnsi="PT Astra Serif"/>
          <w:color w:val="000000"/>
          <w:sz w:val="24"/>
          <w:szCs w:val="24"/>
        </w:rPr>
        <w:t xml:space="preserve">ским кодексом Российской Федерации, Земельным кодексом Российской Федерации, иными федеральными законами и нормативно-правовыми актами, </w:t>
      </w:r>
      <w:r>
        <w:rPr>
          <w:rFonts w:ascii="PT Astra Serif" w:hAnsi="PT Astra Serif"/>
          <w:color w:val="000000"/>
          <w:sz w:val="24"/>
          <w:szCs w:val="24"/>
        </w:rPr>
        <w:br/>
        <w:t>а также настоящим извещением.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проведения электронного аукциона договор аренды земельного участка заключа</w:t>
      </w:r>
      <w:r>
        <w:rPr>
          <w:rFonts w:ascii="PT Astra Serif" w:hAnsi="PT Astra Serif"/>
          <w:color w:val="000000"/>
          <w:sz w:val="24"/>
          <w:szCs w:val="24"/>
        </w:rPr>
        <w:t>ется в электронной форме и подписывается усиленной квалифицированной электронной подписью сторон такого договора.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</w:t>
      </w:r>
      <w:r>
        <w:rPr>
          <w:rFonts w:ascii="PT Astra Serif" w:hAnsi="PT Astra Serif"/>
          <w:color w:val="000000"/>
          <w:sz w:val="24"/>
          <w:szCs w:val="24"/>
        </w:rPr>
        <w:t>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электронный</w:t>
      </w:r>
      <w:r>
        <w:rPr>
          <w:rFonts w:ascii="PT Astra Serif" w:hAnsi="PT Astra Serif"/>
          <w:color w:val="000000"/>
          <w:sz w:val="24"/>
          <w:szCs w:val="24"/>
        </w:rPr>
        <w:t xml:space="preserve"> аукцион признан несостоявшимся, либо протокола о результатах электронного аукциона на официальном сайте торгов.</w:t>
      </w:r>
    </w:p>
    <w:p w:rsidR="00DD5241" w:rsidRDefault="00EC31B7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течение 5 (Пяти) дней со дня истечения срока, предусмотренного </w:t>
      </w:r>
      <w:hyperlink r:id="rId14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Земельным к</w:t>
      </w:r>
      <w:r>
        <w:rPr>
          <w:rFonts w:ascii="PT Astra Serif" w:hAnsi="PT Astra Serif"/>
          <w:color w:val="000000"/>
          <w:sz w:val="24"/>
          <w:szCs w:val="24"/>
        </w:rPr>
        <w:t>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проек</w:t>
      </w:r>
      <w:r>
        <w:rPr>
          <w:rFonts w:ascii="PT Astra Serif" w:hAnsi="PT Astra Serif"/>
          <w:color w:val="000000"/>
          <w:sz w:val="24"/>
          <w:szCs w:val="24"/>
        </w:rPr>
        <w:t>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</w:t>
      </w:r>
      <w:r>
        <w:rPr>
          <w:rFonts w:ascii="PT Astra Serif" w:hAnsi="PT Astra Serif"/>
          <w:color w:val="000000"/>
          <w:sz w:val="24"/>
          <w:szCs w:val="24"/>
        </w:rPr>
        <w:t>й таким участником аукциона.</w:t>
      </w:r>
    </w:p>
    <w:p w:rsidR="00DD5241" w:rsidRDefault="00EC31B7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</w:t>
      </w:r>
      <w:r>
        <w:rPr>
          <w:rFonts w:ascii="PT Astra Serif" w:hAnsi="PT Astra Serif"/>
          <w:color w:val="000000"/>
          <w:sz w:val="24"/>
          <w:szCs w:val="24"/>
        </w:rPr>
        <w:t xml:space="preserve">бочих дней со дня истечения этого срока направляет сведения, предусмотренные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DD5241" w:rsidRDefault="00EC31B7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>Сведения о победителе аукциона, уклонившегося от заключени</w:t>
      </w:r>
      <w:r>
        <w:rPr>
          <w:rFonts w:ascii="PT Astra Serif" w:hAnsi="PT Astra Serif"/>
          <w:color w:val="000000"/>
          <w:sz w:val="24"/>
          <w:szCs w:val="24"/>
        </w:rPr>
        <w:t xml:space="preserve">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в течение 10 (Десяти) рабочих дней со дня направления участнику аукциона, который сделал предпоследнее</w:t>
      </w:r>
      <w:r>
        <w:rPr>
          <w:rFonts w:ascii="PT Astra Serif" w:hAnsi="PT Astra Serif"/>
          <w:color w:val="000000"/>
          <w:sz w:val="24"/>
          <w:szCs w:val="24"/>
        </w:rPr>
        <w:t xml:space="preserve">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</w:t>
      </w:r>
      <w:r>
        <w:rPr>
          <w:rFonts w:ascii="PT Astra Serif" w:hAnsi="PT Astra Serif"/>
          <w:color w:val="000000"/>
          <w:sz w:val="24"/>
          <w:szCs w:val="24"/>
        </w:rPr>
        <w:t>участком иным образом в соответствии с Земельным кодексом РФ.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</w:t>
      </w:r>
      <w:r>
        <w:rPr>
          <w:rFonts w:ascii="PT Astra Serif" w:hAnsi="PT Astra Serif"/>
          <w:color w:val="000000"/>
          <w:sz w:val="24"/>
          <w:szCs w:val="24"/>
        </w:rPr>
        <w:t xml:space="preserve">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</w:t>
      </w:r>
      <w:r>
        <w:rPr>
          <w:rFonts w:ascii="PT Astra Serif" w:hAnsi="PT Astra Serif"/>
          <w:color w:val="000000"/>
          <w:sz w:val="24"/>
          <w:szCs w:val="24"/>
        </w:rPr>
        <w:t>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</w:t>
      </w:r>
      <w:r>
        <w:rPr>
          <w:rFonts w:ascii="PT Astra Serif" w:hAnsi="PT Astra Serif"/>
          <w:color w:val="000000"/>
          <w:sz w:val="24"/>
          <w:szCs w:val="24"/>
        </w:rPr>
        <w:t xml:space="preserve">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</w:t>
      </w:r>
      <w:r>
        <w:rPr>
          <w:rFonts w:ascii="PT Astra Serif" w:hAnsi="PT Astra Serif"/>
          <w:color w:val="000000"/>
          <w:sz w:val="24"/>
          <w:szCs w:val="24"/>
        </w:rPr>
        <w:t xml:space="preserve">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</w:t>
      </w:r>
      <w:r>
        <w:rPr>
          <w:rFonts w:ascii="PT Astra Serif" w:hAnsi="PT Astra Serif"/>
          <w:color w:val="000000"/>
          <w:sz w:val="24"/>
          <w:szCs w:val="24"/>
        </w:rPr>
        <w:t xml:space="preserve">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отказе в пров</w:t>
      </w:r>
      <w:r>
        <w:rPr>
          <w:rFonts w:ascii="PT Astra Serif" w:hAnsi="PT Astra Serif"/>
          <w:color w:val="000000"/>
          <w:sz w:val="24"/>
          <w:szCs w:val="24"/>
        </w:rPr>
        <w:t>едении аукциона в соответствии с действующим законодательством.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решенного использования земельного участка не предусматривается строительство здания, сооружения)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1: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ЕГРН от 18.05.2026 № КУВИ-001/2026-67531459 – Приложение 3;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градостроительный план земельного участка № РФ-71-2-26-0-00-2025-4898-0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 – Приложение 7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2: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ЕГРН от 18.05.2026 № КУВИ-001/2026-67531647 – Приложение 4;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градостроительный план земельного участка № РФ-71-2-26-0-00-2025-4931-0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3: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выписка из ЕГРН от 18.05.2026 № КУВИ-001/2026-67</w:t>
      </w:r>
      <w:r>
        <w:rPr>
          <w:rFonts w:ascii="PT Astra Serif" w:hAnsi="PT Astra Serif"/>
          <w:bCs/>
          <w:color w:val="000000"/>
          <w:sz w:val="24"/>
          <w:szCs w:val="24"/>
        </w:rPr>
        <w:t>531848 – Приложение 5;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земельного участка № РФ-71-2-26-0-00-2025-4969-0 – Приложение 9;</w:t>
      </w:r>
    </w:p>
    <w:p w:rsidR="00DD5241" w:rsidRDefault="00DD5241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4: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выписка из ЕГРН от 18.05.2026 № КУВИ-001/2026-67532363 – Приложение 6;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градостроительный план земельного участка № </w:t>
      </w:r>
      <w:r>
        <w:rPr>
          <w:rFonts w:ascii="PT Astra Serif" w:hAnsi="PT Astra Serif"/>
          <w:bCs/>
          <w:color w:val="000000"/>
          <w:sz w:val="24"/>
          <w:szCs w:val="24"/>
        </w:rPr>
        <w:t>РФ-71-2-26-0-00-2025-4854-0 – Приложение 10.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территорий, территории объекта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культурного наследия, публичного сервитута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ЕГРН от 18.05.2026 № КУВИ-001/2026-67531459 – Приложение 3;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градостроительный план земельного участка № РФ-71-2-26-0-00-2025-4898-0 – Приложение 7;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ЕГРН от 18.05.2026 №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 КУВИ-001/2026-67531647 – Приложение 4;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земельного участка № РФ-71-2-26-0-00-2025-4931-0 – Приложение 8;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выписка из ЕГРН от 18.05.2026 № КУВИ-001/2026-67531848 – Приложение 5;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земельного участка №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РФ-71-2-26-0-00-2025-4969-0 – Приложение 9;</w:t>
      </w:r>
    </w:p>
    <w:p w:rsidR="00DD5241" w:rsidRDefault="00DD5241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выписка из ЕГРН от 18.05.2026 № КУВИ-001/2026-67532363 – Приложение 6;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земельного участка № РФ-71-2-26-0-00-2025-4854-0 – Приложение 10.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Информация о расположенных в границах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земельных участков объектах капитального строительства и объектах культурного наследия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b/>
          <w:bCs/>
          <w:color w:val="000000"/>
          <w:sz w:val="24"/>
          <w:szCs w:val="24"/>
        </w:rPr>
        <w:t>Лоты  1</w:t>
      </w:r>
      <w:proofErr w:type="gramEnd"/>
      <w:r>
        <w:rPr>
          <w:rFonts w:ascii="PT Astra Serif" w:hAnsi="PT Astra Serif"/>
          <w:b/>
          <w:bCs/>
          <w:color w:val="000000"/>
          <w:sz w:val="24"/>
          <w:szCs w:val="24"/>
        </w:rPr>
        <w:t>-4: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Сведения о возможности подключения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тка не предусматривается строительство здания, сооружения)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1,2,3: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Газром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 xml:space="preserve"> газораспределение Тула»</w:t>
      </w:r>
      <w:r>
        <w:rPr>
          <w:rFonts w:ascii="PT Astra Serif" w:hAnsi="PT Astra Serif"/>
          <w:color w:val="000000"/>
          <w:sz w:val="24"/>
          <w:szCs w:val="24"/>
        </w:rPr>
        <w:t xml:space="preserve"> филиал в п. Косая гора от 26.03.2026 </w:t>
      </w:r>
      <w:r>
        <w:rPr>
          <w:rFonts w:ascii="PT Astra Serif" w:hAnsi="PT Astra Serif"/>
          <w:color w:val="000000"/>
          <w:sz w:val="24"/>
          <w:szCs w:val="24"/>
        </w:rPr>
        <w:br/>
        <w:t>№ 05-06-ВК/1498 (Приложение 11);</w:t>
      </w:r>
    </w:p>
    <w:p w:rsidR="00DD5241" w:rsidRDefault="00EC31B7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DD5241" w:rsidRDefault="00EC31B7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Тулагоргаз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от </w:t>
      </w:r>
      <w:r>
        <w:rPr>
          <w:rFonts w:ascii="PT Astra Serif" w:hAnsi="PT Astra Serif"/>
          <w:color w:val="000000"/>
          <w:sz w:val="24"/>
          <w:szCs w:val="24"/>
        </w:rPr>
        <w:t>04.03.2026 № Исх-758 (Приложение 12);</w:t>
      </w:r>
    </w:p>
    <w:p w:rsidR="00DD5241" w:rsidRDefault="00DD5241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коммунальным сетям водоснабжения и водоотведения: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» от 23.03.2026 № 2-25/6314-26 (Приложение 13);</w:t>
      </w:r>
    </w:p>
    <w:p w:rsidR="00DD5241" w:rsidRDefault="00EC31B7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</w:t>
      </w:r>
      <w:proofErr w:type="spellStart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» от 20.03.2026 № 2-25/6245-26 (Приложение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14);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</w:t>
      </w:r>
      <w:proofErr w:type="spellStart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» от 20.03.2026 № 2-25/6184-26 (Приложение 15);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DD5241" w:rsidRDefault="00EC31B7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</w:t>
      </w:r>
      <w:proofErr w:type="spellStart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» от 10.03.2026 № 2-25/5159-26 (Приложение 16);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» от 16.03.2026 № 304/8 (При</w:t>
      </w:r>
      <w:r>
        <w:rPr>
          <w:rFonts w:ascii="PT Astra Serif" w:hAnsi="PT Astra Serif"/>
          <w:color w:val="000000"/>
          <w:sz w:val="24"/>
          <w:szCs w:val="24"/>
        </w:rPr>
        <w:t>ложение 17);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>» от 16.03.2026 № 304/10 (Приложение 18);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>» от 16.03.2026 № 304/13 (Приложение 19);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DD5241" w:rsidRDefault="00EC31B7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>» от 05.03.2026 № 253/3 (Приложение 20);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сетям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электроснабжения: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24.03.2026 № МР7-ТуЭ/09/3039 (Приложение 21);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23.03.2026 № МР7-ТуЭ/09/2997 (Приложение 22);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</w:t>
      </w:r>
      <w:r>
        <w:rPr>
          <w:rFonts w:ascii="PT Astra Serif" w:hAnsi="PT Astra Serif"/>
          <w:color w:val="000000"/>
          <w:sz w:val="24"/>
          <w:szCs w:val="24"/>
        </w:rPr>
        <w:t>Тулэнерго от 23.03.2026 № МР7-ТуЭ/05-02/2999 (Приложение 23);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DD5241" w:rsidRDefault="00EC31B7">
      <w:pPr>
        <w:pStyle w:val="af2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 xml:space="preserve">- письмо 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 xml:space="preserve"> Центр Приволжье Тулэнерго от 16.03.2026 № МР7-ТуЭ/09/2716 (Приложение 24).</w:t>
      </w:r>
    </w:p>
    <w:p w:rsidR="00DD5241" w:rsidRDefault="00DD5241">
      <w:pPr>
        <w:pStyle w:val="af2"/>
        <w:ind w:firstLine="709"/>
        <w:rPr>
          <w:rFonts w:ascii="PT Astra Serif" w:hAnsi="PT Astra Serif" w:cs="PTAstraSerif-Regular"/>
          <w:b/>
          <w:sz w:val="24"/>
          <w:szCs w:val="24"/>
        </w:rPr>
      </w:pPr>
    </w:p>
    <w:p w:rsidR="00DD5241" w:rsidRDefault="00EC31B7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Порядок приема заявок на участие в аукционе, внесения и возврата задатка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</w:t>
      </w:r>
      <w:r>
        <w:rPr>
          <w:rFonts w:ascii="PT Astra Serif" w:hAnsi="PT Astra Serif"/>
          <w:color w:val="000000"/>
          <w:sz w:val="24"/>
          <w:szCs w:val="24"/>
        </w:rPr>
        <w:t xml:space="preserve">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</w:t>
      </w:r>
      <w:r>
        <w:rPr>
          <w:rFonts w:ascii="PT Astra Serif" w:hAnsi="PT Astra Serif"/>
          <w:color w:val="000000"/>
          <w:sz w:val="24"/>
          <w:szCs w:val="24"/>
        </w:rPr>
        <w:t>инструкциями оператора электронной площадки.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</w:t>
      </w:r>
      <w:r>
        <w:rPr>
          <w:rFonts w:ascii="PT Astra Serif" w:hAnsi="PT Astra Serif"/>
          <w:color w:val="000000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DD5241" w:rsidRDefault="00DD5241">
      <w:pPr>
        <w:pStyle w:val="af2"/>
        <w:ind w:firstLine="709"/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</w:pPr>
    </w:p>
    <w:p w:rsidR="00DD5241" w:rsidRDefault="00EC31B7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электронн</w:t>
      </w: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проводится в соответствии с проводится в соответствии с регламентом электронной площадки (</w:t>
      </w:r>
      <w:hyperlink r:id="rId29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 xml:space="preserve">https://utp.sberbank-ast.ru/Bankruptcy/ </w:t>
        </w:r>
        <w:proofErr w:type="spellStart"/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Notice</w:t>
        </w:r>
        <w:proofErr w:type="spellEnd"/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/1086/</w:t>
        </w:r>
        <w:proofErr w:type="spellStart"/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получения</w:t>
      </w:r>
      <w:r>
        <w:rPr>
          <w:rFonts w:ascii="PT Astra Serif" w:hAnsi="PT Astra Serif"/>
          <w:color w:val="000000"/>
          <w:sz w:val="24"/>
          <w:szCs w:val="24"/>
        </w:rPr>
        <w:t xml:space="preserve"> регистрации на электронной площадке заявители представляют оператору электронной площадки: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адрес электронной почты этого з</w:t>
      </w:r>
      <w:r>
        <w:rPr>
          <w:rFonts w:ascii="PT Astra Serif" w:hAnsi="PT Astra Serif"/>
          <w:color w:val="000000"/>
          <w:sz w:val="24"/>
          <w:szCs w:val="24"/>
        </w:rPr>
        <w:t>аявителя для направления оператором электронной площадки уведомлений и иной информации.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Оператор электронной площадки не должен требовать от заявителя иные документы и информацию.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поступления заявления и информа</w:t>
      </w:r>
      <w:r>
        <w:rPr>
          <w:rFonts w:ascii="PT Astra Serif" w:hAnsi="PT Astra Serif"/>
          <w:color w:val="000000"/>
          <w:sz w:val="24"/>
          <w:szCs w:val="24"/>
        </w:rPr>
        <w:t>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</w:t>
      </w:r>
      <w:r>
        <w:rPr>
          <w:rFonts w:ascii="PT Astra Serif" w:hAnsi="PT Astra Serif"/>
          <w:color w:val="000000"/>
          <w:sz w:val="24"/>
          <w:szCs w:val="24"/>
        </w:rPr>
        <w:t>ом решении.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решения об отказе в регист</w:t>
      </w:r>
      <w:r>
        <w:rPr>
          <w:rFonts w:ascii="PT Astra Serif" w:hAnsi="PT Astra Serif"/>
          <w:color w:val="000000"/>
          <w:sz w:val="24"/>
          <w:szCs w:val="24"/>
        </w:rPr>
        <w:t>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заявителя на электронной площадке осуществляется на ср</w:t>
      </w:r>
      <w:r>
        <w:rPr>
          <w:rFonts w:ascii="PT Astra Serif" w:hAnsi="PT Astra Serif"/>
          <w:color w:val="000000"/>
          <w:sz w:val="24"/>
          <w:szCs w:val="24"/>
        </w:rPr>
        <w:t>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 электронной площадке, вправе участвоват</w:t>
      </w:r>
      <w:r>
        <w:rPr>
          <w:rFonts w:ascii="PT Astra Serif" w:hAnsi="PT Astra Serif"/>
          <w:color w:val="000000"/>
          <w:sz w:val="24"/>
          <w:szCs w:val="24"/>
        </w:rPr>
        <w:t>ь во всех продажах имущества в электронной форме, проводимых на этой электронной площадке.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</w:t>
      </w:r>
      <w:r>
        <w:rPr>
          <w:rFonts w:ascii="PT Astra Serif" w:hAnsi="PT Astra Serif"/>
          <w:color w:val="000000"/>
          <w:sz w:val="24"/>
          <w:szCs w:val="24"/>
        </w:rPr>
        <w:t>ажа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Сбербанк-АСТ»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DD5241" w:rsidRDefault="00EC31B7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тронной площадке по адресу: 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DD5241" w:rsidRDefault="00DD5241">
      <w:pPr>
        <w:pStyle w:val="af2"/>
        <w:ind w:firstLine="709"/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</w:pPr>
    </w:p>
    <w:p w:rsidR="00DD5241" w:rsidRDefault="00EC31B7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нформационном ресурсе государственной информационной системы «Официальный сайт Российской Федерации в информацион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но-телекоммуникационной сети «Интернет» </w:t>
      </w:r>
      <w:hyperlink r:id="rId31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участия в торгах по реализации государственного или муниципального имущества проводится регистрация в ГИС Торги. Пройдя регистрацию в ГИС Торги, </w:t>
      </w:r>
      <w:r>
        <w:rPr>
          <w:rFonts w:ascii="PT Astra Serif" w:hAnsi="PT Astra Serif"/>
          <w:color w:val="000000"/>
          <w:sz w:val="24"/>
          <w:szCs w:val="24"/>
        </w:rPr>
        <w:t>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</w:t>
      </w:r>
      <w:r>
        <w:rPr>
          <w:rFonts w:ascii="PT Astra Serif" w:hAnsi="PT Astra Serif"/>
          <w:color w:val="000000"/>
          <w:sz w:val="24"/>
          <w:szCs w:val="24"/>
        </w:rPr>
        <w:t xml:space="preserve">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действующая квалифицированная </w:t>
      </w:r>
      <w:r>
        <w:rPr>
          <w:rFonts w:ascii="PT Astra Serif" w:hAnsi="PT Astra Serif"/>
          <w:color w:val="000000"/>
          <w:sz w:val="24"/>
          <w:szCs w:val="24"/>
        </w:rPr>
        <w:t>электронная подпись, повторное получение не требуется.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Пройти регистрацию на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Госуслугах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(ЕСИА). Если пользователь уже зарегистрирован на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Госуслугах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(ЕСИА), достаточно воспользоваться имеющейся подтвержденной учетной записью. Далее необходимо перейти на сай</w:t>
      </w:r>
      <w:r>
        <w:rPr>
          <w:rFonts w:ascii="PT Astra Serif" w:hAnsi="PT Astra Serif"/>
          <w:color w:val="000000"/>
          <w:sz w:val="24"/>
          <w:szCs w:val="24"/>
        </w:rPr>
        <w:t>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</w:t>
      </w:r>
      <w:r>
        <w:rPr>
          <w:rFonts w:ascii="PT Astra Serif" w:hAnsi="PT Astra Serif"/>
          <w:color w:val="000000"/>
          <w:sz w:val="24"/>
          <w:szCs w:val="24"/>
        </w:rPr>
        <w:t>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участник будет зарегистрирован в ГИС Торги.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После регистрации в ГИС Торги информация об участнике автоматически направляется на</w:t>
      </w:r>
      <w:r>
        <w:rPr>
          <w:rFonts w:ascii="PT Astra Serif" w:hAnsi="PT Astra Serif"/>
          <w:color w:val="000000"/>
          <w:sz w:val="24"/>
          <w:szCs w:val="24"/>
        </w:rPr>
        <w:t xml:space="preserve">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</w:t>
      </w:r>
      <w:r>
        <w:rPr>
          <w:rFonts w:ascii="PT Astra Serif" w:hAnsi="PT Astra Serif"/>
          <w:color w:val="000000"/>
          <w:sz w:val="24"/>
          <w:szCs w:val="24"/>
        </w:rPr>
        <w:t xml:space="preserve">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DD5241" w:rsidRDefault="00EC31B7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 дополни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2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3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Заявители подают заявку путем заполнения ее электронной формы, размещенной в открытой для доступа неограниченного круга лиц части электронно</w:t>
      </w:r>
      <w:r>
        <w:rPr>
          <w:rFonts w:ascii="PT Astra Serif" w:hAnsi="PT Astra Serif"/>
          <w:color w:val="000000"/>
          <w:sz w:val="24"/>
          <w:szCs w:val="24"/>
        </w:rPr>
        <w:t>й площадки в соответствии с Регламентом электронной площадки АО «Сбербанк-АСТ».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</w:t>
      </w:r>
      <w:r>
        <w:rPr>
          <w:rFonts w:ascii="PT Astra Serif" w:hAnsi="PT Astra Serif"/>
          <w:color w:val="000000"/>
          <w:sz w:val="24"/>
          <w:szCs w:val="24"/>
        </w:rPr>
        <w:t>ителем заявителя, зарегистрированным в торговой секции, из личного кабинета посредством штатного интерфейса.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заявку на участие в аук</w:t>
      </w:r>
      <w:r>
        <w:rPr>
          <w:rFonts w:ascii="PT Astra Serif" w:hAnsi="PT Astra Serif"/>
          <w:color w:val="000000"/>
          <w:sz w:val="24"/>
          <w:szCs w:val="24"/>
        </w:rPr>
        <w:t>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заверенный перевод на рус</w:t>
      </w:r>
      <w:r>
        <w:rPr>
          <w:rFonts w:ascii="PT Astra Serif" w:hAnsi="PT Astra Serif"/>
          <w:color w:val="000000"/>
          <w:sz w:val="24"/>
          <w:szCs w:val="24"/>
        </w:rPr>
        <w:t>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представление </w:t>
      </w:r>
      <w:r>
        <w:rPr>
          <w:rFonts w:ascii="PT Astra Serif" w:hAnsi="PT Astra Serif" w:cs="PT Astra Serif"/>
          <w:color w:val="000000"/>
          <w:sz w:val="24"/>
          <w:szCs w:val="24"/>
        </w:rPr>
        <w:t>документов, подтверждающих внесение задатка, признается заключением соглашения о задатке.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Указанные документы,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</w:t>
      </w:r>
      <w:r>
        <w:rPr>
          <w:rFonts w:ascii="PT Astra Serif" w:hAnsi="PT Astra Serif"/>
          <w:color w:val="000000"/>
          <w:sz w:val="24"/>
          <w:szCs w:val="24"/>
        </w:rPr>
        <w:t>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 и прилагаемые к ней документы направляются единов</w:t>
      </w:r>
      <w:r>
        <w:rPr>
          <w:rFonts w:ascii="PT Astra Serif" w:hAnsi="PT Astra Serif"/>
          <w:color w:val="000000"/>
          <w:sz w:val="24"/>
          <w:szCs w:val="24"/>
        </w:rPr>
        <w:t>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</w:t>
      </w:r>
      <w:r>
        <w:rPr>
          <w:rFonts w:ascii="PT Astra Serif" w:hAnsi="PT Astra Serif"/>
          <w:color w:val="000000"/>
          <w:sz w:val="24"/>
          <w:szCs w:val="24"/>
        </w:rPr>
        <w:t>нтов без отзыва заявки в соответствии с регламентом и инструкциями оператора электронной площадки.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</w:t>
      </w:r>
      <w:r>
        <w:rPr>
          <w:rFonts w:ascii="PT Astra Serif" w:hAnsi="PT Astra Serif"/>
          <w:color w:val="000000"/>
          <w:sz w:val="24"/>
          <w:szCs w:val="24"/>
        </w:rPr>
        <w:t>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</w:t>
      </w:r>
      <w:r>
        <w:rPr>
          <w:rFonts w:ascii="PT Astra Serif" w:hAnsi="PT Astra Serif"/>
          <w:color w:val="000000"/>
          <w:sz w:val="24"/>
          <w:szCs w:val="24"/>
        </w:rPr>
        <w:t>ок задаток возвращается в порядке, установленном для участников аукциона.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электронной площадки с</w:t>
      </w:r>
      <w:r>
        <w:rPr>
          <w:rFonts w:ascii="PT Astra Serif" w:hAnsi="PT Astra Serif"/>
          <w:color w:val="000000"/>
          <w:sz w:val="24"/>
          <w:szCs w:val="24"/>
        </w:rPr>
        <w:t xml:space="preserve"> помощью программных и технических средств в дату и время окончания срока приема заявок.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Наименование получателя: АО «Сбербанк-АСТ»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ИНН: 7707308480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Расчетный счет: 40702810300020038047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БИК: 0445252</w:t>
      </w:r>
      <w:r>
        <w:rPr>
          <w:rFonts w:ascii="PT Astra Serif" w:hAnsi="PT Astra Serif"/>
          <w:color w:val="000000"/>
          <w:sz w:val="24"/>
          <w:szCs w:val="24"/>
        </w:rPr>
        <w:t>25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Оплата задатка осуществляется путем блокирования денежных</w:t>
      </w:r>
      <w:r>
        <w:rPr>
          <w:rFonts w:ascii="PT Astra Serif" w:hAnsi="PT Astra Serif"/>
          <w:color w:val="000000"/>
          <w:sz w:val="24"/>
          <w:szCs w:val="24"/>
        </w:rPr>
        <w:t xml:space="preserve">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 момента блокирования денежных средств в сумме задатка на лицевом счете Заявителя на элект</w:t>
      </w:r>
      <w:r>
        <w:rPr>
          <w:rFonts w:ascii="PT Astra Serif" w:hAnsi="PT Astra Serif"/>
          <w:color w:val="000000"/>
          <w:sz w:val="24"/>
          <w:szCs w:val="24"/>
        </w:rPr>
        <w:t>ронной площадке.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</w:t>
      </w:r>
      <w:r>
        <w:rPr>
          <w:rFonts w:ascii="PT Astra Serif" w:hAnsi="PT Astra Serif"/>
          <w:color w:val="000000"/>
          <w:sz w:val="24"/>
          <w:szCs w:val="24"/>
        </w:rPr>
        <w:t xml:space="preserve">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</w:t>
      </w:r>
      <w:r>
        <w:rPr>
          <w:rFonts w:ascii="PT Astra Serif" w:hAnsi="PT Astra Serif"/>
          <w:color w:val="000000"/>
          <w:sz w:val="24"/>
          <w:szCs w:val="24"/>
        </w:rPr>
        <w:t>с пунктами 13, 14 статьи 39.12 Земельного кодекса Российской Федерации) в течение одного дня, следующего за днем: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отмены аукциона;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окончания срока подачи заявок;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 допуске к участию в аукционе;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публикаци</w:t>
      </w:r>
      <w:r>
        <w:rPr>
          <w:rFonts w:ascii="PT Astra Serif" w:hAnsi="PT Astra Serif"/>
          <w:color w:val="000000"/>
          <w:sz w:val="24"/>
          <w:szCs w:val="24"/>
        </w:rPr>
        <w:t>и протокола о результатах аукциона (в случае, если заявитель не признан победителем аукциона).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кодекса РФ, засчитывается в оплату </w:t>
      </w:r>
      <w:r>
        <w:rPr>
          <w:rFonts w:ascii="PT Astra Serif" w:hAnsi="PT Astra Serif"/>
          <w:color w:val="000000"/>
          <w:sz w:val="24"/>
          <w:szCs w:val="24"/>
        </w:rPr>
        <w:t>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</w:t>
      </w:r>
      <w:r>
        <w:rPr>
          <w:rFonts w:ascii="PT Astra Serif" w:hAnsi="PT Astra Serif"/>
          <w:color w:val="000000"/>
          <w:sz w:val="24"/>
          <w:szCs w:val="24"/>
        </w:rPr>
        <w:t>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не допускается к участию в аукцио</w:t>
      </w:r>
      <w:r>
        <w:rPr>
          <w:rFonts w:ascii="PT Astra Serif" w:hAnsi="PT Astra Serif"/>
          <w:color w:val="000000"/>
          <w:sz w:val="24"/>
          <w:szCs w:val="24"/>
        </w:rPr>
        <w:t>не в следующих случаях: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непоступление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задатка на дату рассмотрения заявок на участие в аукционе;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подача заявки лицом, которое в соответствии с Зем</w:t>
      </w:r>
      <w:r>
        <w:rPr>
          <w:rFonts w:ascii="PT Astra Serif" w:hAnsi="PT Astra Serif"/>
          <w:color w:val="000000"/>
          <w:sz w:val="24"/>
          <w:szCs w:val="24"/>
        </w:rPr>
        <w:t>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наличие сведений о заявителе, об учредителях (участниках), о членах коллегиальных исполнительных </w:t>
      </w:r>
      <w:r>
        <w:rPr>
          <w:rFonts w:ascii="PT Astra Serif" w:hAnsi="PT Astra Serif"/>
          <w:color w:val="000000"/>
          <w:sz w:val="24"/>
          <w:szCs w:val="24"/>
        </w:rPr>
        <w:t>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кодекса РФ реестре недобросовестных участников аукциона.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Протокол рассмотрения заявок на </w:t>
      </w:r>
      <w:r>
        <w:rPr>
          <w:rFonts w:ascii="PT Astra Serif" w:hAnsi="PT Astra Serif"/>
          <w:color w:val="000000"/>
          <w:sz w:val="24"/>
          <w:szCs w:val="24"/>
        </w:rPr>
        <w:t xml:space="preserve">участие в электронном аукционе подписывается не позднее чем в течение одного дня со дня их рассмотрения усиленной квалифицированной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электронной подписью лица, уполномоченного действовать от имени организатора аукциона, и размещается на электронной площадке</w:t>
      </w:r>
      <w:r>
        <w:rPr>
          <w:rFonts w:ascii="PT Astra Serif" w:hAnsi="PT Astra Serif"/>
          <w:color w:val="000000"/>
          <w:sz w:val="24"/>
          <w:szCs w:val="24"/>
        </w:rPr>
        <w:t xml:space="preserve">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расс</w:t>
      </w:r>
      <w:r>
        <w:rPr>
          <w:rFonts w:ascii="PT Astra Serif" w:hAnsi="PT Astra Serif"/>
          <w:color w:val="000000"/>
          <w:sz w:val="24"/>
          <w:szCs w:val="24"/>
        </w:rPr>
        <w:t>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признанным участниками аукциона, а также заявителям, не допущенным к участию в аукционе,</w:t>
      </w:r>
      <w:r>
        <w:rPr>
          <w:rFonts w:ascii="PT Astra Serif" w:hAnsi="PT Astra Serif"/>
          <w:color w:val="000000"/>
          <w:sz w:val="24"/>
          <w:szCs w:val="24"/>
        </w:rPr>
        <w:t xml:space="preserve"> уведомления о принятых в их отношении решениях.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</w:t>
      </w:r>
      <w:r>
        <w:rPr>
          <w:rFonts w:ascii="PT Astra Serif" w:hAnsi="PT Astra Serif"/>
          <w:color w:val="000000"/>
          <w:sz w:val="24"/>
          <w:szCs w:val="24"/>
        </w:rPr>
        <w:t>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</w:t>
      </w:r>
      <w:r>
        <w:rPr>
          <w:rFonts w:ascii="PT Astra Serif" w:hAnsi="PT Astra Serif"/>
          <w:color w:val="000000"/>
          <w:sz w:val="24"/>
          <w:szCs w:val="24"/>
        </w:rPr>
        <w:t>я.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участником аукциона, уполномоченный орган в течение 10 (Десяти) дней со дня подписания проток</w:t>
      </w:r>
      <w:r>
        <w:rPr>
          <w:rFonts w:ascii="PT Astra Serif" w:hAnsi="PT Astra Serif" w:cs="PT Astra Serif"/>
          <w:color w:val="000000"/>
          <w:sz w:val="24"/>
          <w:szCs w:val="24"/>
        </w:rPr>
        <w:t>ола рассмотрения заявок, обязан направить заявителю 2 (Два)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 Специализированная организация, явля</w:t>
      </w:r>
      <w:r>
        <w:rPr>
          <w:rFonts w:ascii="PT Astra Serif" w:hAnsi="PT Astra Serif" w:cs="PT Astra Serif"/>
          <w:color w:val="000000"/>
          <w:sz w:val="24"/>
          <w:szCs w:val="24"/>
        </w:rPr>
        <w:t>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DD5241" w:rsidRDefault="00EC31B7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соответствии с пунктом 14 статьи 39.1</w:t>
      </w:r>
      <w:r>
        <w:rPr>
          <w:rFonts w:ascii="PT Astra Serif" w:hAnsi="PT Astra Serif"/>
          <w:color w:val="000000"/>
          <w:sz w:val="24"/>
          <w:szCs w:val="24"/>
        </w:rPr>
        <w:t xml:space="preserve">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и аукциона, уполномоченный орган заключает с таким лицом договор в порядке и на условиях, которые предусмотрены </w:t>
      </w:r>
      <w:hyperlink r:id="rId34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аукционе могут участвовать только заявители, допущенные к участию в аукционе </w:t>
      </w:r>
      <w:r>
        <w:rPr>
          <w:rFonts w:ascii="PT Astra Serif" w:hAnsi="PT Astra Serif"/>
          <w:color w:val="000000"/>
          <w:sz w:val="24"/>
          <w:szCs w:val="24"/>
        </w:rPr>
        <w:t>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проводится в день и время, указанные в настоящем извещении.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Срок для подачи предложений о</w:t>
      </w:r>
      <w:r>
        <w:rPr>
          <w:rFonts w:ascii="PT Astra Serif" w:hAnsi="PT Astra Serif"/>
          <w:color w:val="000000"/>
          <w:sz w:val="24"/>
          <w:szCs w:val="24"/>
        </w:rPr>
        <w:t xml:space="preserve">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</w:t>
      </w:r>
      <w:r>
        <w:rPr>
          <w:rFonts w:ascii="PT Astra Serif" w:hAnsi="PT Astra Serif"/>
          <w:color w:val="000000"/>
          <w:sz w:val="24"/>
          <w:szCs w:val="24"/>
        </w:rPr>
        <w:t>площадки как расчетное время окончания торгов, а также как время, оставшееся до окончания торгов в минутах.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</w:t>
      </w:r>
      <w:r>
        <w:rPr>
          <w:rFonts w:ascii="PT Astra Serif" w:hAnsi="PT Astra Serif"/>
          <w:color w:val="000000"/>
          <w:sz w:val="24"/>
          <w:szCs w:val="24"/>
        </w:rPr>
        <w:t>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Время ожидания предложения участника электронного аукциона о цене предмета аукциона составляет 10 (Десять) минут. Пр</w:t>
      </w:r>
      <w:r>
        <w:rPr>
          <w:rFonts w:ascii="PT Astra Serif" w:hAnsi="PT Astra Serif"/>
          <w:color w:val="000000"/>
          <w:sz w:val="24"/>
          <w:szCs w:val="24"/>
        </w:rPr>
        <w:t>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</w:t>
      </w:r>
      <w:r>
        <w:rPr>
          <w:rFonts w:ascii="PT Astra Serif" w:hAnsi="PT Astra Serif"/>
          <w:color w:val="000000"/>
          <w:sz w:val="24"/>
          <w:szCs w:val="24"/>
        </w:rPr>
        <w:t>дмета аукциона не поступило, электронный аукцион завершается.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средствами оператора электронной площадки обесп</w:t>
      </w:r>
      <w:r>
        <w:rPr>
          <w:rFonts w:ascii="PT Astra Serif" w:hAnsi="PT Astra Serif"/>
          <w:color w:val="000000"/>
          <w:sz w:val="24"/>
          <w:szCs w:val="24"/>
        </w:rPr>
        <w:t>ечивается: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предложение этого участника о цене предме</w:t>
      </w:r>
      <w:r>
        <w:rPr>
          <w:rFonts w:ascii="PT Astra Serif" w:hAnsi="PT Astra Serif"/>
          <w:color w:val="000000"/>
          <w:sz w:val="24"/>
          <w:szCs w:val="24"/>
        </w:rPr>
        <w:t>та аукциона не может быть принято в связи с подачей аналогичного предложения ранее другим участником.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технических неполадок или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DDoS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-атак оператор электронной площадки принимает меры по восстановлению работы сайта и фиксирует аппаратно-программным</w:t>
      </w:r>
      <w:r>
        <w:rPr>
          <w:rFonts w:ascii="PT Astra Serif" w:hAnsi="PT Astra Serif"/>
          <w:color w:val="000000"/>
          <w:sz w:val="24"/>
          <w:szCs w:val="24"/>
        </w:rPr>
        <w:t>и средствами период отсутствия доступа к сайту по времени сервера.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</w:t>
      </w:r>
      <w:r>
        <w:rPr>
          <w:rFonts w:ascii="PT Astra Serif" w:hAnsi="PT Astra Serif"/>
          <w:color w:val="000000"/>
          <w:sz w:val="24"/>
          <w:szCs w:val="24"/>
        </w:rPr>
        <w:t xml:space="preserve">дке, причем проведение аукциона переносится на второй рабочий день начиная со дня, в который были зафиксированы указанные неполадки или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DDoS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-атаки.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переноса проведения аукциона оператор электронной площадки должным образом уведомляет Организатора </w:t>
      </w:r>
      <w:r>
        <w:rPr>
          <w:rFonts w:ascii="PT Astra Serif" w:hAnsi="PT Astra Serif"/>
          <w:color w:val="000000"/>
          <w:sz w:val="24"/>
          <w:szCs w:val="24"/>
        </w:rPr>
        <w:t>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оператор электронной площадки уведомля</w:t>
      </w:r>
      <w:r>
        <w:rPr>
          <w:rFonts w:ascii="PT Astra Serif" w:hAnsi="PT Astra Serif"/>
          <w:color w:val="000000"/>
          <w:sz w:val="24"/>
          <w:szCs w:val="24"/>
        </w:rPr>
        <w:t>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</w:t>
      </w:r>
      <w:r>
        <w:rPr>
          <w:rFonts w:ascii="PT Astra Serif" w:hAnsi="PT Astra Serif"/>
          <w:color w:val="000000"/>
          <w:sz w:val="24"/>
          <w:szCs w:val="24"/>
        </w:rPr>
        <w:t>и электронной площадки.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</w:t>
      </w:r>
      <w:r>
        <w:rPr>
          <w:rFonts w:ascii="PT Astra Serif" w:hAnsi="PT Astra Serif"/>
          <w:color w:val="000000"/>
          <w:sz w:val="24"/>
          <w:szCs w:val="24"/>
        </w:rPr>
        <w:t>аукциона.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</w:t>
      </w:r>
      <w:r>
        <w:rPr>
          <w:rFonts w:ascii="PT Astra Serif" w:hAnsi="PT Astra Serif"/>
          <w:color w:val="000000"/>
          <w:sz w:val="24"/>
          <w:szCs w:val="24"/>
        </w:rPr>
        <w:t xml:space="preserve"> итогов аукциона путем оформления протокола о результатах аукциона.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</w:t>
      </w:r>
      <w:r>
        <w:rPr>
          <w:rFonts w:ascii="PT Astra Serif" w:hAnsi="PT Astra Serif"/>
          <w:color w:val="000000"/>
          <w:sz w:val="24"/>
          <w:szCs w:val="24"/>
        </w:rPr>
        <w:t>цион признается несостоявшимся в случаях, если: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была подана только одна заявка;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не подано ни одной заявки;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 основании результатов рассмотрения заявок принято решение об отказе в </w:t>
      </w:r>
      <w:r>
        <w:rPr>
          <w:rFonts w:ascii="PT Astra Serif" w:hAnsi="PT Astra Serif"/>
          <w:color w:val="000000"/>
          <w:sz w:val="24"/>
          <w:szCs w:val="24"/>
        </w:rPr>
        <w:t>допуске к участию в аукционе всех заявителей;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в случае если в течении 10 (Десяти) минут после начала пр</w:t>
      </w:r>
      <w:r>
        <w:rPr>
          <w:rFonts w:ascii="PT Astra Serif" w:hAnsi="PT Astra Serif"/>
          <w:color w:val="000000"/>
          <w:sz w:val="24"/>
          <w:szCs w:val="24"/>
        </w:rPr>
        <w:t>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</w:t>
      </w:r>
      <w:r>
        <w:rPr>
          <w:rFonts w:ascii="PT Astra Serif" w:hAnsi="PT Astra Serif"/>
          <w:color w:val="000000"/>
          <w:sz w:val="24"/>
          <w:szCs w:val="24"/>
        </w:rPr>
        <w:t>й площадки (размер устанавливается в соответствии с постановлением Правительства РФ от 10.05.2018 № 564) - не взимается.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земельного участка;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2. </w:t>
      </w:r>
      <w:r>
        <w:rPr>
          <w:rFonts w:ascii="PT Astra Serif" w:hAnsi="PT Astra Serif"/>
          <w:color w:val="000000"/>
          <w:sz w:val="24"/>
          <w:szCs w:val="24"/>
        </w:rPr>
        <w:t>Проект договора аренды земельного участка;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18.05.2026 № КУВИ-001/2026-67531459;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4.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от 18.05.2026 № КУВИ-001/2026-67531647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18.05.2026 № КУВИ-001/2026-67531848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</w:t>
      </w:r>
      <w:r>
        <w:rPr>
          <w:rFonts w:ascii="PT Astra Serif" w:hAnsi="PT Astra Serif"/>
          <w:color w:val="000000"/>
          <w:sz w:val="24"/>
          <w:szCs w:val="24"/>
        </w:rPr>
        <w:t>ложение 6. Выписка из ЕГРН от 18.05.2026 № КУВИ-001/2026-67532363;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7. Градостроительный план земельного участка № РФ-71-2-26-0-00-2025-4898-0;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№ РФ-71-2-26-0-00-2025-4931-0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</w:t>
      </w:r>
      <w:r>
        <w:rPr>
          <w:rFonts w:ascii="PT Astra Serif" w:hAnsi="PT Astra Serif"/>
          <w:color w:val="000000"/>
          <w:sz w:val="24"/>
          <w:szCs w:val="24"/>
        </w:rPr>
        <w:t>радостроительный план земельного участка № РФ-71-2-26-0-00-2025-4969-0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РФ-71-2-26-0-00-2025-4854-0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11. П</w:t>
      </w:r>
      <w:r>
        <w:rPr>
          <w:rFonts w:ascii="PT Astra Serif" w:hAnsi="PT Astra Serif" w:cs="PTAstraSerif-Regular"/>
          <w:color w:val="000000"/>
          <w:sz w:val="24"/>
          <w:szCs w:val="24"/>
        </w:rPr>
        <w:t>исьмо АО «</w:t>
      </w:r>
      <w:proofErr w:type="spellStart"/>
      <w:r>
        <w:rPr>
          <w:rFonts w:ascii="PT Astra Serif" w:hAnsi="PT Astra Serif" w:cs="PTAstraSerif-Regular"/>
          <w:color w:val="000000"/>
          <w:sz w:val="24"/>
          <w:szCs w:val="24"/>
        </w:rPr>
        <w:t>Газром</w:t>
      </w:r>
      <w:proofErr w:type="spellEnd"/>
      <w:r>
        <w:rPr>
          <w:rFonts w:ascii="PT Astra Serif" w:hAnsi="PT Astra Serif" w:cs="PTAstraSerif-Regular"/>
          <w:color w:val="000000"/>
          <w:sz w:val="24"/>
          <w:szCs w:val="24"/>
        </w:rPr>
        <w:t xml:space="preserve"> газораспределение Тула» филиал в п. Косая гора от 26.03.2026 № </w:t>
      </w:r>
      <w:r>
        <w:rPr>
          <w:rFonts w:ascii="PT Astra Serif" w:hAnsi="PT Astra Serif" w:cs="PTAstraSerif-Regular"/>
          <w:color w:val="000000"/>
          <w:sz w:val="24"/>
          <w:szCs w:val="24"/>
        </w:rPr>
        <w:t>05-06-ВК/1498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12.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Тулагоргаз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» от 04.03.2026 № Исх-758;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13.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» от 23.03.2026 № 2-25/6314-26;</w:t>
      </w:r>
    </w:p>
    <w:p w:rsidR="00DD5241" w:rsidRDefault="00EC31B7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14.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20.03.2026 № 2-25/6245-26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15.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20.03.2026 № 2-25/6184-26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16.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Тулагорводоканал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10.03.2026 № 2-25/5159-26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17.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16.03.2026 № 304/8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18.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 xml:space="preserve">от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16.03.2026 № 304/10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19.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16.03.2026 № 304/13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20. Письмо АО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Тулатеплосеть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05.03.2026 № 253/3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21.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24.03.2026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МР7-ТуЭ/09/3039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22. П</w:t>
      </w:r>
      <w:r>
        <w:rPr>
          <w:rFonts w:ascii="PT Astra Serif" w:hAnsi="PT Astra Serif"/>
          <w:color w:val="000000"/>
          <w:sz w:val="24"/>
          <w:szCs w:val="24"/>
        </w:rPr>
        <w:t xml:space="preserve">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23.03.2026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МР7-ТуЭ/09/2997;</w:t>
      </w:r>
    </w:p>
    <w:p w:rsidR="00DD5241" w:rsidRDefault="00EC31B7">
      <w:pPr>
        <w:pStyle w:val="af2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23.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23.03.2026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МР7-ТуЭ/05-02/2999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DD5241" w:rsidRDefault="00EC31B7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24. Письмо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Россети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Центр Приволжье Тулэнерго от 16.03.2026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МР7-ТуЭ/09/2716</w:t>
      </w:r>
      <w:r>
        <w:rPr>
          <w:rFonts w:ascii="PT Astra Serif" w:hAnsi="PT Astra Serif" w:cs="PTAstraSerif-Regular"/>
          <w:color w:val="000000"/>
          <w:sz w:val="24"/>
          <w:szCs w:val="24"/>
        </w:rPr>
        <w:t>.</w:t>
      </w:r>
    </w:p>
    <w:p w:rsidR="00DD5241" w:rsidRDefault="00DD524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DD5241" w:rsidRDefault="00DD5241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DD5241" w:rsidRDefault="00DD5241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DD5241" w:rsidRDefault="00DD5241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DD5241" w:rsidRDefault="00DD5241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sectPr w:rsidR="00DD5241">
      <w:pgSz w:w="11906" w:h="16838"/>
      <w:pgMar w:top="900" w:right="792" w:bottom="96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ewsGothic_A.Z_P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41"/>
    <w:rsid w:val="00DD5241"/>
    <w:rsid w:val="00E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A589-1624-437E-A4BF-851DECE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user6">
    <w:name w:val="Без списка (user)"/>
    <w:uiPriority w:val="99"/>
    <w:semiHidden/>
    <w:unhideWhenUsed/>
    <w:qFormat/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erbank-ast.ru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101232" TargetMode="External"/><Relationship Id="rId26" Type="http://schemas.openxmlformats.org/officeDocument/2006/relationships/hyperlink" Target="https://login.consultant.ru/link/?req=doc&amp;base=RZR&amp;n=483141&amp;dst=27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83141&amp;dst=2777" TargetMode="External"/><Relationship Id="rId34" Type="http://schemas.openxmlformats.org/officeDocument/2006/relationships/hyperlink" Target="https://login.consultant.ru/link/?req=doc&amp;base=RZR&amp;n=483141&amp;dst=2771" TargetMode="External"/><Relationship Id="rId7" Type="http://schemas.openxmlformats.org/officeDocument/2006/relationships/hyperlink" Target="https://utp.sberbank-ast.ru/AP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login.consultant.ru/link/?req=doc&amp;base=RZR&amp;n=483141&amp;dst=702" TargetMode="External"/><Relationship Id="rId25" Type="http://schemas.openxmlformats.org/officeDocument/2006/relationships/hyperlink" Target="https://login.consultant.ru/link/?req=doc&amp;base=RZR&amp;n=483141&amp;dst=689" TargetMode="External"/><Relationship Id="rId33" Type="http://schemas.openxmlformats.org/officeDocument/2006/relationships/hyperlink" Target="https://torgi.gov.ru/new/public/infomaterials/r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90" TargetMode="External"/><Relationship Id="rId20" Type="http://schemas.openxmlformats.org/officeDocument/2006/relationships/hyperlink" Target="https://login.consultant.ru/link/?req=doc&amp;base=RZR&amp;n=483141&amp;dst=2772" TargetMode="External"/><Relationship Id="rId29" Type="http://schemas.openxmlformats.org/officeDocument/2006/relationships/hyperlink" Target="https://utp.sberbank-ast.ru/Bankruptcy/%20Notice/108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omakindya@cityadm.tula.ru" TargetMode="External"/><Relationship Id="rId11" Type="http://schemas.openxmlformats.org/officeDocument/2006/relationships/hyperlink" Target="mailto:lomakindya@cityadm.tula.ru" TargetMode="External"/><Relationship Id="rId24" Type="http://schemas.openxmlformats.org/officeDocument/2006/relationships/hyperlink" Target="https://login.consultant.ru/link/?req=doc&amp;base=RZR&amp;n=483141&amp;dst=714" TargetMode="External"/><Relationship Id="rId32" Type="http://schemas.openxmlformats.org/officeDocument/2006/relationships/hyperlink" Target="https://torgi.gov.ru/new/cabinet/support/center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KIZO@cityadm.tula.ru" TargetMode="External"/><Relationship Id="rId15" Type="http://schemas.openxmlformats.org/officeDocument/2006/relationships/hyperlink" Target="https://login.consultant.ru/link/?req=doc&amp;base=RZR&amp;n=483141&amp;dst=689" TargetMode="External"/><Relationship Id="rId23" Type="http://schemas.openxmlformats.org/officeDocument/2006/relationships/hyperlink" Target="https://login.consultant.ru/link/?req=doc&amp;base=RZR&amp;n=483141&amp;dst=712" TargetMode="External"/><Relationship Id="rId28" Type="http://schemas.openxmlformats.org/officeDocument/2006/relationships/hyperlink" Target="https://login.consultant.ru/link/?req=doc&amp;base=RZR&amp;n=483141&amp;dst=2780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IZO@cityadm.tula.ru" TargetMode="External"/><Relationship Id="rId19" Type="http://schemas.openxmlformats.org/officeDocument/2006/relationships/hyperlink" Target="https://login.consultant.ru/link/?req=doc&amp;base=RZR&amp;n=483141&amp;dst=689" TargetMode="External"/><Relationship Id="rId31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s://login.consultant.ru/link/?req=doc&amp;base=RZR&amp;n=483141&amp;dst=2465" TargetMode="External"/><Relationship Id="rId22" Type="http://schemas.openxmlformats.org/officeDocument/2006/relationships/hyperlink" Target="https://login.consultant.ru/link/?req=doc&amp;base=RZR&amp;n=483141&amp;dst=2780" TargetMode="External"/><Relationship Id="rId27" Type="http://schemas.openxmlformats.org/officeDocument/2006/relationships/hyperlink" Target="https://login.consultant.ru/link/?req=doc&amp;base=RZR&amp;n=483141&amp;dst=2777" TargetMode="External"/><Relationship Id="rId30" Type="http://schemas.openxmlformats.org/officeDocument/2006/relationships/hyperlink" Target="http://www.sberbank-ast.ru/CAList.aspx" TargetMode="External"/><Relationship Id="rId35" Type="http://schemas.openxmlformats.org/officeDocument/2006/relationships/hyperlink" Target="https://login.consultant.ru/link/?req=doc&amp;base=RZR&amp;n=483141&amp;dst=2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D498-37F5-4BBE-833A-8847F1F7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6328</Words>
  <Characters>36070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subject/>
  <dc:creator>-</dc:creator>
  <dc:description/>
  <cp:lastModifiedBy>SidorovaON</cp:lastModifiedBy>
  <cp:revision>2</cp:revision>
  <cp:lastPrinted>2026-05-21T13:42:00Z</cp:lastPrinted>
  <dcterms:created xsi:type="dcterms:W3CDTF">2026-05-22T08:00:00Z</dcterms:created>
  <dcterms:modified xsi:type="dcterms:W3CDTF">2026-05-22T08:00:00Z</dcterms:modified>
  <dc:language>ru-RU</dc:language>
</cp:coreProperties>
</file>