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1E" w:rsidRDefault="00752A6A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A1291E" w:rsidRDefault="00752A6A">
      <w:pPr>
        <w:pStyle w:val="af2"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/>
          <w:bCs/>
          <w:color w:val="000000"/>
          <w:sz w:val="24"/>
          <w:szCs w:val="24"/>
        </w:rPr>
        <w:t>71:14:040401:13383, 71:30:010806:229, 71:30:010806:231, 71:30:010806:232</w:t>
      </w:r>
    </w:p>
    <w:p w:rsidR="00A1291E" w:rsidRDefault="00A1291E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имущественных и </w:t>
      </w:r>
      <w:r>
        <w:rPr>
          <w:rFonts w:ascii="PT Astra Serif" w:hAnsi="PT Astra Serif"/>
          <w:color w:val="000000"/>
          <w:sz w:val="24"/>
          <w:szCs w:val="24"/>
        </w:rPr>
        <w:t>земельных отношений администрации города Тулы (ИНН 7102005410).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</w:t>
      </w:r>
      <w:r>
        <w:rPr>
          <w:rFonts w:ascii="PT Astra Serif" w:hAnsi="PT Astra Serif"/>
          <w:color w:val="000000"/>
          <w:sz w:val="24"/>
          <w:szCs w:val="24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  <w:sz w:val="24"/>
          <w:szCs w:val="24"/>
        </w:rPr>
        <w:br/>
        <w:t>тел. 8 (495) 787-29-97.</w:t>
      </w:r>
    </w:p>
    <w:p w:rsidR="00A1291E" w:rsidRDefault="00752A6A">
      <w:pPr>
        <w:pStyle w:val="af2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A1291E" w:rsidRDefault="00752A6A">
      <w:pPr>
        <w:pStyle w:val="af2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 xml:space="preserve">0 «О полномочиях органов местного самоуправления муниципального образования </w:t>
      </w:r>
      <w:r>
        <w:rPr>
          <w:rFonts w:ascii="PT Astra Serif" w:hAnsi="PT Astra Serif"/>
          <w:color w:val="000000"/>
          <w:sz w:val="24"/>
          <w:szCs w:val="24"/>
        </w:rPr>
        <w:t>город Тула в области земельных отношений», распоряжениями администрации города Тулы от 20.04.2026 № 1/2793-р «О проведении аукциона на право заключения договора аренды земельного у</w:t>
      </w:r>
      <w:r>
        <w:rPr>
          <w:rFonts w:ascii="PT Astra Serif" w:hAnsi="PT Astra Serif"/>
          <w:color w:val="000000"/>
          <w:sz w:val="24"/>
          <w:szCs w:val="24"/>
        </w:rPr>
        <w:t>частка с кадастровым номером 71:14:040401:13383», от 24.04.2026 № 1/2970-р «О проведении аукциона на право заключения договора аренды земельного участка с кадастровым номером 71:30:010806:229», от 24.04.2026 № 1/2955-р «О проведении аукциона на право заклю</w:t>
      </w:r>
      <w:r>
        <w:rPr>
          <w:rFonts w:ascii="PT Astra Serif" w:hAnsi="PT Astra Serif"/>
          <w:color w:val="000000"/>
          <w:sz w:val="24"/>
          <w:szCs w:val="24"/>
        </w:rPr>
        <w:t>чения договора аренды земельного участка с кадастровым номером 71:30:010806:231», от 24.04.2026 № 1/2954-р «О проведении аукциона на право заключения договора аренды земельного участка с кадастровым номером 71:30:010806:232».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</w:t>
      </w:r>
      <w:r>
        <w:rPr>
          <w:rFonts w:ascii="PT Astra Serif" w:hAnsi="PT Astra Serif"/>
          <w:color w:val="000000"/>
          <w:sz w:val="24"/>
          <w:szCs w:val="24"/>
        </w:rPr>
        <w:t>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A1291E" w:rsidRDefault="00752A6A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A1291E" w:rsidRDefault="00752A6A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«27» мая 2026 г.</w:t>
      </w:r>
    </w:p>
    <w:p w:rsidR="00A1291E" w:rsidRDefault="00752A6A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«28» мая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A1291E" w:rsidRDefault="00752A6A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«16» июня 2026 г. в 12 час. 0</w:t>
      </w:r>
      <w:r>
        <w:rPr>
          <w:rFonts w:ascii="PT Astra Serif" w:hAnsi="PT Astra Serif"/>
          <w:bCs/>
          <w:color w:val="000000"/>
          <w:sz w:val="24"/>
          <w:szCs w:val="24"/>
        </w:rPr>
        <w:t>0 мин.</w:t>
      </w:r>
    </w:p>
    <w:p w:rsidR="00A1291E" w:rsidRDefault="00752A6A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«17» июня 2026 г.</w:t>
      </w:r>
    </w:p>
    <w:p w:rsidR="00A1291E" w:rsidRDefault="00752A6A">
      <w:pPr>
        <w:pStyle w:val="af2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«18» июня 2026 г. в 11 ч. 00 мин.</w:t>
      </w:r>
    </w:p>
    <w:p w:rsidR="00A1291E" w:rsidRDefault="00A1291E">
      <w:pPr>
        <w:pStyle w:val="af2"/>
        <w:rPr>
          <w:b/>
          <w:bCs/>
        </w:rPr>
      </w:pPr>
      <w:bookmarkStart w:id="1" w:name="_GoBack_Копия_1"/>
      <w:bookmarkEnd w:id="1"/>
    </w:p>
    <w:p w:rsidR="00A1291E" w:rsidRDefault="00752A6A">
      <w:pPr>
        <w:pStyle w:val="af2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A1291E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1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71:14:040401:13383,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площадью 1 461 кв. м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Российская Федерация, Тульская область, муниципальное образование г. Тула, село Маслово, северо-западнее участка с кадастровым номером 71:14:040401:2103, участок 3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Вид разрешенного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404 253,24 (Четыреста четыре тысячи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двести пятьдесят три) рубля 24 копейки</w:t>
            </w:r>
          </w:p>
          <w:p w:rsidR="00A1291E" w:rsidRDefault="00A1291E">
            <w:pPr>
              <w:pStyle w:val="af2"/>
              <w:jc w:val="left"/>
            </w:pP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404 253,24 (Четыреста четыре тысячи двести пятьдесят три) рубля 24 копейки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12 127,60 (Двенадцать тыс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яч сто двадцать семь) рублей 60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22.05.2026 № КУВИ-001/2026-70163830 – Приложение 3;</w:t>
            </w:r>
          </w:p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РФ-71-2-26-0-00-2025-2474-0 – Приложение 7.</w:t>
            </w:r>
          </w:p>
        </w:tc>
      </w:tr>
      <w:tr w:rsidR="00A1291E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2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71:30:010806:229, площадью 1 165 кв. м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г. Тула, Северная часть Зареченского района, @56918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592 259,55 (пятьсот девяносто две тысячи двести пятьд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есят девять) рублей 55 копеек.</w:t>
            </w:r>
          </w:p>
          <w:p w:rsidR="00A1291E" w:rsidRDefault="00A1291E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592 259,55 (пятьсот девяносто две тысячи двести пятьдесят девять) рублей 55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17 767,79 (семнадцать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тысяч семьсот шестьдесят семь) рублей 79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25.05.2026 № КУВИ-001/2026-70641861 – Приложение 4;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РФ-71-2-26-0-00-2025-4821-0 – Приложение 8.</w:t>
            </w:r>
          </w:p>
        </w:tc>
      </w:tr>
      <w:tr w:rsidR="00A1291E">
        <w:trPr>
          <w:trHeight w:val="225"/>
        </w:trPr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3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71:30:010806:231, площадью 1 196 кв. м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Российская Федерация, Тульская область, г. Тула, Северная часть Зареченского района, @56948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A1291E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613 343,48 (Шестьс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от тринадцать тысяч триста сорок три) рубля 48 копеек.</w:t>
            </w:r>
          </w:p>
          <w:p w:rsidR="00A1291E" w:rsidRDefault="00A1291E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613 343,48 (Шестьсот тринадцать тысяч триста сорок три) рубля 48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18 400,30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(восемнадцать тысяч четыреста) рублей 30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18.05.2026 № КУВИ-001/2026-70164889 – Приложение 5;</w:t>
            </w:r>
          </w:p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РФ-71-2-26-0-00-2025-4848-0 – Приложение 9.</w:t>
            </w:r>
          </w:p>
        </w:tc>
      </w:tr>
      <w:tr w:rsidR="00A1291E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4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71:30:010806:232, площадью 1 193 кв. м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Тульская область, г. Тула, Северная часть Зареченского района, @56947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A1291E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Вид разрешенного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611 805,00 (Шестьсот одиннадцать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тысяч восемьсот пять) рубля 00 копеек.</w:t>
            </w:r>
          </w:p>
          <w:p w:rsidR="00A1291E" w:rsidRDefault="00A1291E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A1291E" w:rsidRDefault="00A1291E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611 805,00 (Шестьсот одиннадцать тысяч восемьсот пять) рубля 00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18 354,15 (Восемнадцать тысяч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триста пятьдесят четыре) рубля 15 копеек</w:t>
            </w:r>
          </w:p>
        </w:tc>
      </w:tr>
      <w:tr w:rsidR="00A1291E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выписка из ЕГРН от 22.05.2026 № КУВИ-001/2026-70165227 – Приложение 6;</w:t>
            </w:r>
          </w:p>
          <w:p w:rsidR="00A1291E" w:rsidRDefault="00752A6A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градостроительный план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РФ-71-2-26-0-00-2025-4847-0 – Приложение 10.</w:t>
            </w:r>
          </w:p>
        </w:tc>
      </w:tr>
    </w:tbl>
    <w:p w:rsidR="00A1291E" w:rsidRDefault="00A1291E">
      <w:pPr>
        <w:rPr>
          <w:rFonts w:ascii="PT Astra Serif" w:hAnsi="PT Astra Serif"/>
          <w:color w:val="000000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1,2,3,4: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</w:t>
      </w:r>
      <w:r>
        <w:rPr>
          <w:rFonts w:ascii="PT Astra Serif" w:hAnsi="PT Astra Serif"/>
          <w:color w:val="000000"/>
          <w:sz w:val="24"/>
          <w:szCs w:val="24"/>
        </w:rPr>
        <w:t>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</w:t>
      </w:r>
      <w:r>
        <w:rPr>
          <w:rFonts w:ascii="PT Astra Serif" w:hAnsi="PT Astra Serif"/>
          <w:color w:val="000000"/>
          <w:sz w:val="24"/>
          <w:szCs w:val="24"/>
        </w:rPr>
        <w:t xml:space="preserve"> признанным единственным участником аукциона, либо единственным принявшим участие в аукционе участником (далее - Арендатор).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которым заключается договор аренды земельного участка,</w:t>
      </w:r>
      <w:r>
        <w:rPr>
          <w:rFonts w:ascii="PT Astra Serif" w:hAnsi="PT Astra Serif"/>
          <w:color w:val="000000"/>
          <w:sz w:val="24"/>
          <w:szCs w:val="24"/>
        </w:rPr>
        <w:t xml:space="preserve"> засчитывается в счет арендной платы за него. Задатки, внесенные этими лицами, не заключившими в установленном порядке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договор аренды земельного участка вследствие уклонения от заключения указанных договоров, не возвращаются.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</w:t>
      </w:r>
      <w:r>
        <w:rPr>
          <w:rFonts w:ascii="PT Astra Serif" w:hAnsi="PT Astra Serif"/>
          <w:color w:val="000000"/>
          <w:sz w:val="24"/>
          <w:szCs w:val="24"/>
        </w:rPr>
        <w:t>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</w:t>
      </w:r>
      <w:r>
        <w:rPr>
          <w:rFonts w:ascii="PT Astra Serif" w:hAnsi="PT Astra Serif"/>
          <w:color w:val="000000"/>
          <w:sz w:val="24"/>
          <w:szCs w:val="24"/>
        </w:rPr>
        <w:t xml:space="preserve"> регистрации договора.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платы считается надлежащим образом исполненной с даты зачисления в по</w:t>
      </w:r>
      <w:r>
        <w:rPr>
          <w:rFonts w:ascii="PT Astra Serif" w:hAnsi="PT Astra Serif"/>
          <w:color w:val="000000"/>
          <w:sz w:val="24"/>
          <w:szCs w:val="24"/>
        </w:rPr>
        <w:t>лном объеме денежных средств на счет Арендодателя, указанный в договоре аренды.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Гражданским кодексом Росси</w:t>
      </w:r>
      <w:r>
        <w:rPr>
          <w:rFonts w:ascii="PT Astra Serif" w:hAnsi="PT Astra Serif"/>
          <w:color w:val="000000"/>
          <w:sz w:val="24"/>
          <w:szCs w:val="24"/>
        </w:rPr>
        <w:t xml:space="preserve">йской Федерации, Земельным кодексом Российской Федерации, иными федеральными законами и нормативно-правовыми актами, </w:t>
      </w:r>
      <w:r>
        <w:rPr>
          <w:rFonts w:ascii="PT Astra Serif" w:hAnsi="PT Astra Serif"/>
          <w:color w:val="000000"/>
          <w:sz w:val="24"/>
          <w:szCs w:val="24"/>
        </w:rPr>
        <w:br/>
        <w:t>а также настоящим извещением.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 результатам проведения электронного аукциона договор аренды земельного участка заключается в электронной </w:t>
      </w:r>
      <w:r>
        <w:rPr>
          <w:rFonts w:ascii="PT Astra Serif" w:hAnsi="PT Astra Serif"/>
          <w:color w:val="000000"/>
          <w:sz w:val="24"/>
          <w:szCs w:val="24"/>
        </w:rPr>
        <w:t>форме и подписывается усиленной квалифицированной электронной подписью сторон такого договора.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 11 ст. 39.1</w:t>
      </w:r>
      <w:r>
        <w:rPr>
          <w:rFonts w:ascii="PT Astra Serif" w:hAnsi="PT Astra Serif"/>
          <w:color w:val="000000"/>
          <w:sz w:val="24"/>
          <w:szCs w:val="24"/>
        </w:rPr>
        <w:t>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</w:t>
      </w:r>
      <w:r>
        <w:rPr>
          <w:rFonts w:ascii="PT Astra Serif" w:hAnsi="PT Astra Serif"/>
          <w:color w:val="000000"/>
          <w:sz w:val="24"/>
          <w:szCs w:val="24"/>
        </w:rPr>
        <w:t>ся, либо протокола о результатах электронного аукциона на официальном сайте торгов.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</w:t>
      </w:r>
      <w:r>
        <w:rPr>
          <w:rFonts w:ascii="PT Astra Serif" w:hAnsi="PT Astra Serif"/>
          <w:color w:val="000000"/>
          <w:sz w:val="24"/>
          <w:szCs w:val="24"/>
        </w:rPr>
        <w:t xml:space="preserve">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</w:t>
      </w:r>
      <w:r>
        <w:rPr>
          <w:rFonts w:ascii="PT Astra Serif" w:hAnsi="PT Astra Serif"/>
          <w:color w:val="000000"/>
          <w:sz w:val="24"/>
          <w:szCs w:val="24"/>
        </w:rPr>
        <w:t>декса заключается договор аренды земельного участка, подписанный проект договора аренды земельного участка.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</w:t>
      </w:r>
      <w:r>
        <w:rPr>
          <w:rFonts w:ascii="PT Astra Serif" w:hAnsi="PT Astra Serif"/>
          <w:color w:val="000000"/>
          <w:sz w:val="24"/>
          <w:szCs w:val="24"/>
        </w:rPr>
        <w:t xml:space="preserve"> договор аренды земельного участка в течение 10 (Десяти) рабочих дней со дня направления им такого договора.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</w:t>
      </w:r>
      <w:r>
        <w:rPr>
          <w:rFonts w:ascii="PT Astra Serif" w:hAnsi="PT Astra Serif"/>
          <w:color w:val="000000"/>
          <w:sz w:val="24"/>
          <w:szCs w:val="24"/>
        </w:rPr>
        <w:t xml:space="preserve">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</w:t>
      </w:r>
      <w:r>
        <w:rPr>
          <w:rFonts w:ascii="PT Astra Serif" w:hAnsi="PT Astra Serif"/>
          <w:color w:val="000000"/>
          <w:sz w:val="24"/>
          <w:szCs w:val="24"/>
        </w:rPr>
        <w:t>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</w:t>
      </w:r>
      <w:r>
        <w:rPr>
          <w:rFonts w:ascii="PT Astra Serif" w:hAnsi="PT Astra Serif"/>
          <w:color w:val="000000"/>
          <w:sz w:val="24"/>
          <w:szCs w:val="24"/>
        </w:rPr>
        <w:t xml:space="preserve">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 xml:space="preserve">3 </w:t>
        </w:r>
        <w:r>
          <w:rPr>
            <w:rFonts w:ascii="PT Astra Serif" w:hAnsi="PT Astra Serif"/>
            <w:color w:val="000000"/>
            <w:sz w:val="24"/>
            <w:szCs w:val="24"/>
          </w:rPr>
          <w:t>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заключения договора ар</w:t>
      </w:r>
      <w:r>
        <w:rPr>
          <w:rFonts w:ascii="PT Astra Serif" w:hAnsi="PT Astra Serif"/>
          <w:color w:val="000000"/>
          <w:sz w:val="24"/>
          <w:szCs w:val="24"/>
        </w:rPr>
        <w:t xml:space="preserve">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В случае, если в течение 10 (Десяти) рабочих дней со дня направления участнику аукциона, который сделал пре</w:t>
      </w:r>
      <w:r>
        <w:rPr>
          <w:rFonts w:ascii="PT Astra Serif" w:hAnsi="PT Astra Serif"/>
          <w:color w:val="000000"/>
          <w:sz w:val="24"/>
          <w:szCs w:val="24"/>
        </w:rPr>
        <w:t xml:space="preserve">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</w:t>
      </w:r>
      <w:r>
        <w:rPr>
          <w:rFonts w:ascii="PT Astra Serif" w:hAnsi="PT Astra Serif"/>
          <w:color w:val="000000"/>
          <w:sz w:val="24"/>
          <w:szCs w:val="24"/>
        </w:rPr>
        <w:t>земельным участком иным образом в соответствии с Земельным кодексом РФ.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</w:t>
      </w:r>
      <w:r>
        <w:rPr>
          <w:rFonts w:ascii="PT Astra Serif" w:hAnsi="PT Astra Serif"/>
          <w:color w:val="000000"/>
          <w:sz w:val="24"/>
          <w:szCs w:val="24"/>
        </w:rPr>
        <w:t xml:space="preserve">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</w:t>
      </w:r>
      <w:r>
        <w:rPr>
          <w:rFonts w:ascii="PT Astra Serif" w:hAnsi="PT Astra Serif"/>
          <w:color w:val="000000"/>
          <w:sz w:val="24"/>
          <w:szCs w:val="24"/>
        </w:rPr>
        <w:t>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</w:t>
      </w:r>
      <w:r>
        <w:rPr>
          <w:rFonts w:ascii="PT Astra Serif" w:hAnsi="PT Astra Serif"/>
          <w:color w:val="000000"/>
          <w:sz w:val="24"/>
          <w:szCs w:val="24"/>
        </w:rPr>
        <w:t xml:space="preserve">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</w:t>
      </w:r>
      <w:r>
        <w:rPr>
          <w:rFonts w:ascii="PT Astra Serif" w:hAnsi="PT Astra Serif"/>
          <w:color w:val="000000"/>
          <w:sz w:val="24"/>
          <w:szCs w:val="24"/>
        </w:rPr>
        <w:t xml:space="preserve">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</w:t>
      </w:r>
      <w:r>
        <w:rPr>
          <w:rFonts w:ascii="PT Astra Serif" w:hAnsi="PT Astra Serif"/>
          <w:color w:val="000000"/>
          <w:sz w:val="24"/>
          <w:szCs w:val="24"/>
        </w:rPr>
        <w:t xml:space="preserve">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</w:t>
      </w:r>
      <w:r>
        <w:rPr>
          <w:rFonts w:ascii="PT Astra Serif" w:hAnsi="PT Astra Serif"/>
          <w:color w:val="000000"/>
          <w:sz w:val="24"/>
          <w:szCs w:val="24"/>
        </w:rPr>
        <w:t>азе в проведении аукциона в соответствии с действующим законодательством.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видом разрешенного использования земельного участка не предусматривается строительство здания, сооружения)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22.05.2026 № КУВИ-001/2026-70163830 – Приложение 3;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- градостроительный план земельного участка №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РФ-71-2-26-0-00-2025-2474-0 – Приложение 7.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2: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25.05.2026 № КУВИ-001/2026-70641861 – Приложение 4;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РФ-71-2-26-0-00-2025-4821-0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3: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выписка из ЕГРН от </w:t>
      </w:r>
      <w:r>
        <w:rPr>
          <w:rFonts w:ascii="PT Astra Serif" w:hAnsi="PT Astra Serif"/>
          <w:bCs/>
          <w:color w:val="000000"/>
          <w:sz w:val="24"/>
          <w:szCs w:val="24"/>
        </w:rPr>
        <w:t>18.05.2026 № КУВИ-001/2026-70164889 – Приложение 5;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 РФ-71-2-26-0-00-2025-4848-0 – Приложение 9;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4: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22.05.2026 № КУВИ-001/2026-70165227 – Приложение 6;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</w:t>
      </w:r>
      <w:r>
        <w:rPr>
          <w:rFonts w:ascii="PT Astra Serif" w:hAnsi="PT Astra Serif"/>
          <w:bCs/>
          <w:color w:val="000000"/>
          <w:sz w:val="24"/>
          <w:szCs w:val="24"/>
        </w:rPr>
        <w:t>ельного участка № РФ-71-2-26-0-00-2025-4847-0 – Приложение 10.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территорий,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территории объекта культурного наследия, публичного сервитута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ЕГРН от 22.05.2026 № КУВИ-001/2026-70163830 – Приложение 3;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РФ-71-2-26-0-00-2025-2474-0 – Приложение 7.;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выписка из Е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ГРН от 25.05.2026 № КУВИ-001/2026-70641861 – Приложение 4;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градостроительный план земельного участка № РФ-71-2-26-0-00-2025-4821-0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18.05.2026 № КУВИ-001/2026-70164889 – Приложение 5;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</w:t>
      </w:r>
      <w:r>
        <w:rPr>
          <w:rFonts w:ascii="PT Astra Serif" w:hAnsi="PT Astra Serif"/>
          <w:bCs/>
          <w:color w:val="000000"/>
          <w:sz w:val="24"/>
          <w:szCs w:val="24"/>
        </w:rPr>
        <w:t>емельного участка № РФ-71-2-26-0-00-2025-4848-0 – Приложение 9;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выписка из ЕГРН от 22.05.2026 № КУВИ-001/2026-70165227 – Приложение 6;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градостроительный план земельного участка № РФ-71-2-26-0-00-2025-4847-0 – Приложение 10.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расположенных в границах земельных участков объектах капитального строительства и объектах культурного наследия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 1-4: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мельного участка не предусматривается строительство здания, сооружения)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 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филиал в п. Косая гора от 20.03.2026 </w:t>
      </w:r>
      <w:r>
        <w:rPr>
          <w:rFonts w:ascii="PT Astra Serif" w:hAnsi="PT Astra Serif"/>
          <w:color w:val="000000"/>
          <w:sz w:val="24"/>
          <w:szCs w:val="24"/>
        </w:rPr>
        <w:br/>
        <w:t>№ 05-06-ВК/1381 (Приложение 11);</w:t>
      </w:r>
    </w:p>
    <w:p w:rsidR="00A1291E" w:rsidRDefault="00752A6A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Лоты 2,3,4: 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АО </w:t>
      </w:r>
      <w:r>
        <w:rPr>
          <w:rFonts w:ascii="PT Astra Serif" w:hAnsi="PT Astra Serif"/>
          <w:color w:val="000000"/>
          <w:sz w:val="24"/>
          <w:szCs w:val="24"/>
        </w:rPr>
        <w:t>«Тулагоргаз» от 01.04.2026 № Исх-1159 (Приложение 12);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водоснабжения и водоотведения: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02.03.2026 № 2-25/4702-26 (Приложение 13);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03.04.2026 № 2-25/7490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-26 (Приложение 14);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03.04.2026 № 2-25/7486-26 (Приложение 15);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4: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03.04.2026 № 2-25/7495-26 (Приложение 16);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АО «Тулатеплосеть» от </w:t>
      </w:r>
      <w:r>
        <w:rPr>
          <w:rFonts w:ascii="PT Astra Serif" w:hAnsi="PT Astra Serif"/>
          <w:color w:val="000000"/>
          <w:sz w:val="24"/>
          <w:szCs w:val="24"/>
        </w:rPr>
        <w:t>24.02.2026 № 208/1 (Приложение 17);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30.03.2026 № 364/5 (Приложение 18);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30.03.2026 № 364/3 (Приложение 19);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30.03.2026 № 364/8 (Приложение 20)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1: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26.02.2026 № МР7-ТуЭ/09/2018 (Приложение 21);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2: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14.04.2026 № МР7-ТуЭ/05-03/4080 (Приложение 22);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3: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</w:t>
      </w:r>
      <w:r>
        <w:rPr>
          <w:rFonts w:ascii="PT Astra Serif" w:hAnsi="PT Astra Serif"/>
          <w:color w:val="000000"/>
          <w:sz w:val="24"/>
          <w:szCs w:val="24"/>
        </w:rPr>
        <w:t>Центр Приволжье Тулэнерго от 14.04.2026 № МР7-ТуЭ/05-03/4077 (Приложение 23);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4:</w:t>
      </w:r>
    </w:p>
    <w:p w:rsidR="00A1291E" w:rsidRDefault="00752A6A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14.04.2026 № МР7-ТуЭ/05-03/4081 (Приложение 24).</w:t>
      </w:r>
    </w:p>
    <w:p w:rsidR="00A1291E" w:rsidRDefault="00A1291E">
      <w:pPr>
        <w:pStyle w:val="af2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A1291E" w:rsidRDefault="00752A6A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</w:t>
      </w:r>
      <w:r>
        <w:rPr>
          <w:rFonts w:ascii="PT Astra Serif" w:hAnsi="PT Astra Serif"/>
          <w:color w:val="000000"/>
          <w:sz w:val="24"/>
          <w:szCs w:val="24"/>
        </w:rPr>
        <w:t>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</w:t>
      </w:r>
      <w:r>
        <w:rPr>
          <w:rFonts w:ascii="PT Astra Serif" w:hAnsi="PT Astra Serif"/>
          <w:color w:val="000000"/>
          <w:sz w:val="24"/>
          <w:szCs w:val="24"/>
        </w:rPr>
        <w:t>ии с регламентом и инструкциями оператора электронной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</w:t>
      </w:r>
      <w:r>
        <w:rPr>
          <w:rFonts w:ascii="PT Astra Serif" w:hAnsi="PT Astra Serif"/>
          <w:color w:val="000000"/>
          <w:sz w:val="24"/>
          <w:szCs w:val="24"/>
        </w:rPr>
        <w:t xml:space="preserve">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A1291E" w:rsidRDefault="00752A6A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адрес </w:t>
      </w:r>
      <w:r>
        <w:rPr>
          <w:rFonts w:ascii="PT Astra Serif" w:hAnsi="PT Astra Serif"/>
          <w:color w:val="000000"/>
          <w:sz w:val="24"/>
          <w:szCs w:val="24"/>
        </w:rPr>
        <w:t>электронной почты этого заявителя для направления оператором электронной площадки уведомлений и иной информации.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</w:t>
      </w:r>
      <w:r>
        <w:rPr>
          <w:rFonts w:ascii="PT Astra Serif" w:hAnsi="PT Astra Serif"/>
          <w:color w:val="000000"/>
          <w:sz w:val="24"/>
          <w:szCs w:val="24"/>
        </w:rPr>
        <w:t xml:space="preserve">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следующего за днем регистрации (отказа в регистрации) заявителя направляет</w:t>
      </w:r>
      <w:r>
        <w:rPr>
          <w:rFonts w:ascii="PT Astra Serif" w:hAnsi="PT Astra Serif"/>
          <w:color w:val="000000"/>
          <w:sz w:val="24"/>
          <w:szCs w:val="24"/>
        </w:rPr>
        <w:t xml:space="preserve"> ему уведомление о принятом решении.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</w:t>
      </w:r>
      <w:r>
        <w:rPr>
          <w:rFonts w:ascii="PT Astra Serif" w:hAnsi="PT Astra Serif"/>
          <w:color w:val="000000"/>
          <w:sz w:val="24"/>
          <w:szCs w:val="24"/>
        </w:rPr>
        <w:t>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электронной площ</w:t>
      </w:r>
      <w:r>
        <w:rPr>
          <w:rFonts w:ascii="PT Astra Serif" w:hAnsi="PT Astra Serif"/>
          <w:color w:val="000000"/>
          <w:sz w:val="24"/>
          <w:szCs w:val="24"/>
        </w:rPr>
        <w:t>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</w:t>
      </w:r>
      <w:r>
        <w:rPr>
          <w:rFonts w:ascii="PT Astra Serif" w:hAnsi="PT Astra Serif"/>
          <w:color w:val="000000"/>
          <w:sz w:val="24"/>
          <w:szCs w:val="24"/>
        </w:rPr>
        <w:t>ощадке, вправе участвовать во всех продажах имущества в электронной форме, проводимых на этой электронной площадке.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</w:t>
      </w:r>
      <w:r>
        <w:rPr>
          <w:rFonts w:ascii="PT Astra Serif" w:hAnsi="PT Astra Serif"/>
          <w:color w:val="000000"/>
          <w:sz w:val="24"/>
          <w:szCs w:val="24"/>
        </w:rPr>
        <w:t>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A1291E" w:rsidRDefault="00A1291E">
      <w:pPr>
        <w:pStyle w:val="af2"/>
        <w:ind w:firstLine="709"/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</w:pPr>
    </w:p>
    <w:p w:rsidR="00A1291E" w:rsidRDefault="00752A6A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</w:t>
      </w: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</w:t>
      </w:r>
      <w:r>
        <w:rPr>
          <w:rFonts w:ascii="PT Astra Serif" w:hAnsi="PT Astra Serif"/>
          <w:color w:val="000000"/>
          <w:sz w:val="24"/>
          <w:szCs w:val="24"/>
        </w:rPr>
        <w:t>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</w:t>
      </w:r>
      <w:r>
        <w:rPr>
          <w:rFonts w:ascii="PT Astra Serif" w:hAnsi="PT Astra Serif"/>
          <w:color w:val="000000"/>
          <w:sz w:val="24"/>
          <w:szCs w:val="24"/>
        </w:rPr>
        <w:t>авительства РФ от 12.07.2018 № 1447-р*, без прохождения дополнительных проверок и направления документов.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</w:t>
      </w:r>
      <w:r>
        <w:rPr>
          <w:rFonts w:ascii="PT Astra Serif" w:hAnsi="PT Astra Serif"/>
          <w:color w:val="000000"/>
          <w:sz w:val="24"/>
          <w:szCs w:val="24"/>
        </w:rPr>
        <w:t xml:space="preserve">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Пройти регистрацию на Госуслугах (ЕСИА). Если пользователь уже зарегистриров</w:t>
      </w:r>
      <w:r>
        <w:rPr>
          <w:rFonts w:ascii="PT Astra Serif" w:hAnsi="PT Astra Serif"/>
          <w:color w:val="000000"/>
          <w:sz w:val="24"/>
          <w:szCs w:val="24"/>
        </w:rPr>
        <w:t>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</w:t>
      </w:r>
      <w:r>
        <w:rPr>
          <w:rFonts w:ascii="PT Astra Serif" w:hAnsi="PT Astra Serif"/>
          <w:color w:val="000000"/>
          <w:sz w:val="24"/>
          <w:szCs w:val="24"/>
        </w:rPr>
        <w:t>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</w:t>
      </w:r>
      <w:r>
        <w:rPr>
          <w:rFonts w:ascii="PT Astra Serif" w:hAnsi="PT Astra Serif"/>
          <w:color w:val="000000"/>
          <w:sz w:val="24"/>
          <w:szCs w:val="24"/>
        </w:rPr>
        <w:t>астник будет зарегистрирован в ГИС Торги.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</w:t>
      </w:r>
      <w:r>
        <w:rPr>
          <w:rFonts w:ascii="PT Astra Serif" w:hAnsi="PT Astra Serif"/>
          <w:color w:val="000000"/>
          <w:sz w:val="24"/>
          <w:szCs w:val="24"/>
        </w:rPr>
        <w:t xml:space="preserve">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лицу также необходимо пройти регистрацию в ГИС Торги. При </w:t>
      </w:r>
      <w:r>
        <w:rPr>
          <w:rFonts w:ascii="PT Astra Serif" w:hAnsi="PT Astra Serif"/>
          <w:color w:val="000000"/>
          <w:sz w:val="24"/>
          <w:szCs w:val="24"/>
        </w:rPr>
        <w:t>этом такому представителю необходимо представить скан-образ доверенности в составе заявки на электронной площадке.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</w:t>
      </w:r>
      <w:r>
        <w:rPr>
          <w:rFonts w:ascii="PT Astra Serif" w:hAnsi="PT Astra Serif"/>
          <w:color w:val="000000"/>
          <w:sz w:val="24"/>
          <w:szCs w:val="24"/>
        </w:rPr>
        <w:t>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</w:t>
      </w:r>
      <w:r>
        <w:rPr>
          <w:rFonts w:ascii="PT Astra Serif" w:hAnsi="PT Astra Serif"/>
          <w:color w:val="000000"/>
          <w:sz w:val="24"/>
          <w:szCs w:val="24"/>
        </w:rPr>
        <w:t>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</w:t>
      </w:r>
      <w:r>
        <w:rPr>
          <w:rFonts w:ascii="PT Astra Serif" w:hAnsi="PT Astra Serif"/>
          <w:color w:val="000000"/>
          <w:sz w:val="24"/>
          <w:szCs w:val="24"/>
        </w:rPr>
        <w:t xml:space="preserve"> заявители представляют в установленный в извещении о проведении аукциона срок следующие документы: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</w:t>
      </w:r>
      <w:r>
        <w:rPr>
          <w:rFonts w:ascii="PT Astra Serif" w:hAnsi="PT Astra Serif"/>
          <w:color w:val="000000"/>
          <w:sz w:val="24"/>
          <w:szCs w:val="24"/>
        </w:rPr>
        <w:t>задатка;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</w:t>
      </w:r>
      <w:r>
        <w:rPr>
          <w:rFonts w:ascii="PT Astra Serif" w:hAnsi="PT Astra Serif"/>
          <w:color w:val="000000"/>
          <w:sz w:val="24"/>
          <w:szCs w:val="24"/>
        </w:rPr>
        <w:t>случае, если заявителем является иностранное юридическое лицо;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Указанные документы, прилагаемые к </w:t>
      </w:r>
      <w:r>
        <w:rPr>
          <w:rFonts w:ascii="PT Astra Serif" w:hAnsi="PT Astra Serif"/>
          <w:color w:val="000000"/>
          <w:sz w:val="24"/>
          <w:szCs w:val="24"/>
        </w:rPr>
        <w:t>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</w:t>
      </w:r>
      <w:r>
        <w:rPr>
          <w:rFonts w:ascii="PT Astra Serif" w:hAnsi="PT Astra Serif"/>
          <w:color w:val="000000"/>
          <w:sz w:val="24"/>
          <w:szCs w:val="24"/>
        </w:rPr>
        <w:t>писываются усиленной квалифицированной электронной подписью заявителя.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</w:t>
      </w:r>
      <w:r>
        <w:rPr>
          <w:rFonts w:ascii="PT Astra Serif" w:hAnsi="PT Astra Serif"/>
          <w:color w:val="000000"/>
          <w:sz w:val="24"/>
          <w:szCs w:val="24"/>
        </w:rPr>
        <w:t xml:space="preserve">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</w:t>
      </w:r>
      <w:r>
        <w:rPr>
          <w:rFonts w:ascii="PT Astra Serif" w:hAnsi="PT Astra Serif"/>
          <w:color w:val="000000"/>
          <w:sz w:val="24"/>
          <w:szCs w:val="24"/>
        </w:rPr>
        <w:t xml:space="preserve">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</w:t>
      </w:r>
      <w:r>
        <w:rPr>
          <w:rFonts w:ascii="PT Astra Serif" w:hAnsi="PT Astra Serif"/>
          <w:color w:val="000000"/>
          <w:sz w:val="24"/>
          <w:szCs w:val="24"/>
        </w:rPr>
        <w:t>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Заявитель после отзыва заявки вправе повторно подать </w:t>
      </w:r>
      <w:r>
        <w:rPr>
          <w:rFonts w:ascii="PT Astra Serif" w:hAnsi="PT Astra Serif"/>
          <w:color w:val="000000"/>
          <w:sz w:val="24"/>
          <w:szCs w:val="24"/>
        </w:rPr>
        <w:t>заявку до установленных даты и времени окончания срока приема заявок.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</w:t>
      </w:r>
      <w:r>
        <w:rPr>
          <w:rFonts w:ascii="PT Astra Serif" w:hAnsi="PT Astra Serif"/>
          <w:color w:val="000000"/>
          <w:sz w:val="24"/>
          <w:szCs w:val="24"/>
        </w:rPr>
        <w:t>ератор электронной площадки направляет заявки для рассмотрения Организатору аукциона.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</w:t>
      </w:r>
      <w:r>
        <w:rPr>
          <w:rFonts w:ascii="PT Astra Serif" w:hAnsi="PT Astra Serif"/>
          <w:color w:val="000000"/>
          <w:sz w:val="24"/>
          <w:szCs w:val="24"/>
        </w:rPr>
        <w:t>0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БИК: 044525225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денежных сред</w:t>
      </w:r>
      <w:r>
        <w:rPr>
          <w:rFonts w:ascii="PT Astra Serif" w:hAnsi="PT Astra Serif"/>
          <w:color w:val="000000"/>
          <w:sz w:val="24"/>
          <w:szCs w:val="24"/>
        </w:rPr>
        <w:t>ств в качестве задатка (депозита) (ИНН плательщика), НДС не облагается.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</w:t>
      </w:r>
      <w:r>
        <w:rPr>
          <w:rFonts w:ascii="PT Astra Serif" w:hAnsi="PT Astra Serif"/>
          <w:color w:val="000000"/>
          <w:sz w:val="24"/>
          <w:szCs w:val="24"/>
        </w:rPr>
        <w:t>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</w:t>
      </w:r>
      <w:r>
        <w:rPr>
          <w:rFonts w:ascii="PT Astra Serif" w:hAnsi="PT Astra Serif"/>
          <w:color w:val="000000"/>
          <w:sz w:val="24"/>
          <w:szCs w:val="24"/>
        </w:rPr>
        <w:t xml:space="preserve">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</w:t>
      </w:r>
      <w:r>
        <w:rPr>
          <w:rFonts w:ascii="PT Astra Serif" w:hAnsi="PT Astra Serif"/>
          <w:color w:val="000000"/>
          <w:sz w:val="24"/>
          <w:szCs w:val="24"/>
        </w:rPr>
        <w:t>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прекращает блокирование денежной суммы в размере задатка на лицевом счете заявителя (за исключен</w:t>
      </w:r>
      <w:r>
        <w:rPr>
          <w:rFonts w:ascii="PT Astra Serif" w:hAnsi="PT Astra Serif"/>
          <w:color w:val="000000"/>
          <w:sz w:val="24"/>
          <w:szCs w:val="24"/>
        </w:rPr>
        <w:t>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</w:t>
      </w:r>
      <w:r>
        <w:rPr>
          <w:rFonts w:ascii="PT Astra Serif" w:hAnsi="PT Astra Serif"/>
          <w:color w:val="000000"/>
          <w:sz w:val="24"/>
          <w:szCs w:val="24"/>
        </w:rPr>
        <w:t>иона;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</w:t>
      </w:r>
      <w:r>
        <w:rPr>
          <w:rFonts w:ascii="PT Astra Serif" w:hAnsi="PT Astra Serif"/>
          <w:color w:val="000000"/>
          <w:sz w:val="24"/>
          <w:szCs w:val="24"/>
        </w:rPr>
        <w:t>нным победителем аукциона, задаток, внесенный иным лицом, с которым договор аренды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</w:t>
      </w:r>
      <w:r>
        <w:rPr>
          <w:rFonts w:ascii="PT Astra Serif" w:hAnsi="PT Astra Serif"/>
          <w:color w:val="000000"/>
          <w:sz w:val="24"/>
          <w:szCs w:val="24"/>
        </w:rPr>
        <w:t>ельного участка вследствие уклонения от заключения указанных договоров, не возвращаются.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</w:t>
      </w:r>
      <w:r>
        <w:rPr>
          <w:rFonts w:ascii="PT Astra Serif" w:hAnsi="PT Astra Serif"/>
          <w:color w:val="000000"/>
          <w:sz w:val="24"/>
          <w:szCs w:val="24"/>
        </w:rPr>
        <w:t>атора электронной площадки.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аукционе в следующих случаях: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</w:t>
      </w:r>
      <w:r>
        <w:rPr>
          <w:rFonts w:ascii="PT Astra Serif" w:hAnsi="PT Astra Serif"/>
          <w:color w:val="000000"/>
          <w:sz w:val="24"/>
          <w:szCs w:val="24"/>
        </w:rPr>
        <w:t>й;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</w:t>
      </w:r>
      <w:r>
        <w:rPr>
          <w:rFonts w:ascii="PT Astra Serif" w:hAnsi="PT Astra Serif"/>
          <w:color w:val="000000"/>
          <w:sz w:val="24"/>
          <w:szCs w:val="24"/>
        </w:rPr>
        <w:t>ателем земельного участка;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</w:t>
      </w:r>
      <w:r>
        <w:rPr>
          <w:rFonts w:ascii="PT Astra Serif" w:hAnsi="PT Astra Serif"/>
          <w:color w:val="000000"/>
          <w:sz w:val="24"/>
          <w:szCs w:val="24"/>
        </w:rPr>
        <w:t>предусмотренной статьей 39.12 Земельного кодекса РФ реестре недобросовестных участников аукциона.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</w:t>
      </w:r>
      <w:r>
        <w:rPr>
          <w:rFonts w:ascii="PT Astra Serif" w:hAnsi="PT Astra Serif"/>
          <w:color w:val="000000"/>
          <w:sz w:val="24"/>
          <w:szCs w:val="24"/>
        </w:rPr>
        <w:t>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</w:t>
      </w:r>
      <w:r>
        <w:rPr>
          <w:rFonts w:ascii="PT Astra Serif" w:hAnsi="PT Astra Serif"/>
          <w:color w:val="000000"/>
          <w:sz w:val="24"/>
          <w:szCs w:val="24"/>
        </w:rPr>
        <w:t>адке в автоматическом режиме направляется оператором электронной площадки для размещения на официальном сайте.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</w:t>
      </w:r>
      <w:r>
        <w:rPr>
          <w:rFonts w:ascii="PT Astra Serif" w:hAnsi="PT Astra Serif"/>
          <w:color w:val="000000"/>
          <w:sz w:val="24"/>
          <w:szCs w:val="24"/>
        </w:rPr>
        <w:t>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</w:t>
      </w:r>
      <w:r>
        <w:rPr>
          <w:rFonts w:ascii="PT Astra Serif" w:hAnsi="PT Astra Serif"/>
          <w:color w:val="000000"/>
          <w:sz w:val="24"/>
          <w:szCs w:val="24"/>
        </w:rPr>
        <w:t>ается участвующим в аукционе с даты и времени начала проведения аукциона, указанных в настоящем извещении.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</w:t>
      </w:r>
      <w:r>
        <w:rPr>
          <w:rFonts w:ascii="PT Astra Serif" w:hAnsi="PT Astra Serif"/>
          <w:color w:val="000000"/>
          <w:sz w:val="24"/>
          <w:szCs w:val="24"/>
        </w:rPr>
        <w:t>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несостоявш</w:t>
      </w:r>
      <w:r>
        <w:rPr>
          <w:rFonts w:ascii="PT Astra Serif" w:hAnsi="PT Astra Serif" w:cs="PT Astra Serif"/>
          <w:color w:val="000000"/>
          <w:sz w:val="24"/>
          <w:szCs w:val="24"/>
        </w:rPr>
        <w:t>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</w:t>
      </w:r>
      <w:r>
        <w:rPr>
          <w:rFonts w:ascii="PT Astra Serif" w:hAnsi="PT Astra Serif" w:cs="PT Astra Serif"/>
          <w:color w:val="000000"/>
          <w:sz w:val="24"/>
          <w:szCs w:val="24"/>
        </w:rPr>
        <w:t>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</w:t>
      </w:r>
      <w:r>
        <w:rPr>
          <w:rFonts w:ascii="PT Astra Serif" w:hAnsi="PT Astra Serif" w:cs="PT Astra Serif"/>
          <w:color w:val="000000"/>
          <w:sz w:val="24"/>
          <w:szCs w:val="24"/>
        </w:rPr>
        <w:t>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A1291E" w:rsidRDefault="00752A6A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нь после дня подписания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</w:t>
      </w:r>
      <w:r>
        <w:rPr>
          <w:rFonts w:ascii="PT Astra Serif" w:hAnsi="PT Astra Serif"/>
          <w:color w:val="000000"/>
          <w:sz w:val="24"/>
          <w:szCs w:val="24"/>
        </w:rPr>
        <w:t>том и инструкциями оператора электронной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</w:t>
      </w:r>
      <w:r>
        <w:rPr>
          <w:rFonts w:ascii="PT Astra Serif" w:hAnsi="PT Astra Serif"/>
          <w:color w:val="000000"/>
          <w:sz w:val="24"/>
          <w:szCs w:val="24"/>
        </w:rPr>
        <w:t>в аукционе. Информация по участию в аукционе указана в регламенте и инструкциях оператора электронной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время, указанные в настоящем извещении.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Аукцион проводится путем </w:t>
      </w:r>
      <w:r>
        <w:rPr>
          <w:rFonts w:ascii="PT Astra Serif" w:hAnsi="PT Astra Serif"/>
          <w:color w:val="000000"/>
          <w:sz w:val="24"/>
          <w:szCs w:val="24"/>
        </w:rPr>
        <w:t>последовательного повышения участниками начальной цены на величину, равную величине «шага аукциона».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</w:t>
      </w:r>
      <w:r>
        <w:rPr>
          <w:rFonts w:ascii="PT Astra Serif" w:hAnsi="PT Astra Serif"/>
          <w:color w:val="000000"/>
          <w:sz w:val="24"/>
          <w:szCs w:val="24"/>
        </w:rPr>
        <w:t>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</w:t>
      </w:r>
      <w:r>
        <w:rPr>
          <w:rFonts w:ascii="PT Astra Serif" w:hAnsi="PT Astra Serif"/>
          <w:color w:val="000000"/>
          <w:sz w:val="24"/>
          <w:szCs w:val="24"/>
        </w:rPr>
        <w:t>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</w:t>
      </w:r>
      <w:r>
        <w:rPr>
          <w:rFonts w:ascii="PT Astra Serif" w:hAnsi="PT Astra Serif"/>
          <w:color w:val="000000"/>
          <w:sz w:val="24"/>
          <w:szCs w:val="24"/>
        </w:rPr>
        <w:t>говой сессии.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</w:t>
      </w:r>
      <w:r>
        <w:rPr>
          <w:rFonts w:ascii="PT Astra Serif" w:hAnsi="PT Astra Serif"/>
          <w:color w:val="000000"/>
          <w:sz w:val="24"/>
          <w:szCs w:val="24"/>
        </w:rPr>
        <w:t xml:space="preserve">азанного срока, обновляется до 10 (Десяти) минут. Если в течение указанного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времени ни одного предложения о более высокой цене предмета аукциона не поступило, электронный аукцион завершается.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возможности подачи участником предложения о цене предмета аукциона, не соответствующего увеличению текущ</w:t>
      </w:r>
      <w:r>
        <w:rPr>
          <w:rFonts w:ascii="PT Astra Serif" w:hAnsi="PT Astra Serif"/>
          <w:color w:val="000000"/>
          <w:sz w:val="24"/>
          <w:szCs w:val="24"/>
        </w:rPr>
        <w:t>ей цены на величину равную/кратную «шагу аукциона».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</w:t>
      </w:r>
      <w:r>
        <w:rPr>
          <w:rFonts w:ascii="PT Astra Serif" w:hAnsi="PT Astra Serif"/>
          <w:color w:val="000000"/>
          <w:sz w:val="24"/>
          <w:szCs w:val="24"/>
        </w:rPr>
        <w:t>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</w:t>
      </w:r>
      <w:r>
        <w:rPr>
          <w:rFonts w:ascii="PT Astra Serif" w:hAnsi="PT Astra Serif"/>
          <w:color w:val="000000"/>
          <w:sz w:val="24"/>
          <w:szCs w:val="24"/>
        </w:rPr>
        <w:t>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</w:t>
      </w:r>
      <w:r>
        <w:rPr>
          <w:rFonts w:ascii="PT Astra Serif" w:hAnsi="PT Astra Serif"/>
          <w:color w:val="000000"/>
          <w:sz w:val="24"/>
          <w:szCs w:val="24"/>
        </w:rPr>
        <w:t>ладки или DDoS-атаки.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</w:t>
      </w:r>
      <w:r>
        <w:rPr>
          <w:rFonts w:ascii="PT Astra Serif" w:hAnsi="PT Astra Serif"/>
          <w:color w:val="000000"/>
          <w:sz w:val="24"/>
          <w:szCs w:val="24"/>
        </w:rPr>
        <w:t>рассылки уведомлений в личные кабинеты указанных лиц.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</w:t>
      </w:r>
      <w:r>
        <w:rPr>
          <w:rFonts w:ascii="PT Astra Serif" w:hAnsi="PT Astra Serif"/>
          <w:color w:val="000000"/>
          <w:sz w:val="24"/>
          <w:szCs w:val="24"/>
        </w:rPr>
        <w:t>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</w:t>
      </w:r>
      <w:r>
        <w:rPr>
          <w:rFonts w:ascii="PT Astra Serif" w:hAnsi="PT Astra Serif"/>
          <w:color w:val="000000"/>
          <w:sz w:val="24"/>
          <w:szCs w:val="24"/>
        </w:rPr>
        <w:t>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</w:t>
      </w:r>
      <w:r>
        <w:rPr>
          <w:rFonts w:ascii="PT Astra Serif" w:hAnsi="PT Astra Serif"/>
          <w:color w:val="000000"/>
          <w:sz w:val="24"/>
          <w:szCs w:val="24"/>
        </w:rPr>
        <w:t>на на сайте электронной площадки, а также на официальном сайте торгов в течение 1 (Одного) рабочего дня со дня его подписания.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несостоявшимся в случаях, если: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по </w:t>
      </w:r>
      <w:r>
        <w:rPr>
          <w:rFonts w:ascii="PT Astra Serif" w:hAnsi="PT Astra Serif"/>
          <w:color w:val="000000"/>
          <w:sz w:val="24"/>
          <w:szCs w:val="24"/>
        </w:rPr>
        <w:t>окончании срока подачи заявок не подано ни одной заявки;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</w:t>
      </w:r>
      <w:r>
        <w:rPr>
          <w:rFonts w:ascii="PT Astra Serif" w:hAnsi="PT Astra Serif"/>
          <w:color w:val="000000"/>
          <w:sz w:val="24"/>
          <w:szCs w:val="24"/>
        </w:rPr>
        <w:t>стию в аукционе и признании участником аукциона только одного заявителя;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</w:t>
      </w:r>
      <w:r>
        <w:rPr>
          <w:rFonts w:ascii="PT Astra Serif" w:hAnsi="PT Astra Serif"/>
          <w:color w:val="000000"/>
          <w:sz w:val="24"/>
          <w:szCs w:val="24"/>
        </w:rPr>
        <w:t xml:space="preserve"> предмета аукциона.</w:t>
      </w:r>
    </w:p>
    <w:p w:rsidR="00A1291E" w:rsidRDefault="00A1291E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lastRenderedPageBreak/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</w:t>
      </w:r>
      <w:r>
        <w:rPr>
          <w:rFonts w:ascii="PT Astra Serif" w:hAnsi="PT Astra Serif"/>
          <w:color w:val="000000"/>
          <w:sz w:val="24"/>
          <w:szCs w:val="24"/>
        </w:rPr>
        <w:t>риложения: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земельного участка;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22.05.2026 № КУВИ-001/2026-70163830;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4.</w:t>
      </w:r>
      <w:r>
        <w:rPr>
          <w:rFonts w:ascii="PT Astra Serif" w:hAnsi="PT Astra Serif"/>
          <w:color w:val="000000"/>
          <w:sz w:val="24"/>
          <w:szCs w:val="24"/>
        </w:rPr>
        <w:t xml:space="preserve">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от 25.05.2026 № КУВИ-001/2026-70641861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22.05.2026 № КУВИ-001/2026-70164889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22.05.2026 № КУВИ-001/2026-70165227;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Градостроительный план земельного участка № Р</w:t>
      </w:r>
      <w:r>
        <w:rPr>
          <w:rFonts w:ascii="PT Astra Serif" w:hAnsi="PT Astra Serif"/>
          <w:color w:val="000000"/>
          <w:sz w:val="24"/>
          <w:szCs w:val="24"/>
        </w:rPr>
        <w:t>Ф-71-2-26-0-00-2025-2474-0;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</w:rPr>
        <w:t>№ РФ-71-2-26-0-00-2025-4821-0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РФ-71-2-26-0-00-2025-4848-0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</w:t>
      </w:r>
      <w:r>
        <w:rPr>
          <w:rFonts w:ascii="PT Astra Serif" w:hAnsi="PT Astra Serif"/>
          <w:color w:val="000000"/>
          <w:sz w:val="24"/>
          <w:szCs w:val="24"/>
        </w:rPr>
        <w:t>ка № РФ-71-2-26-0-00-2025-4847-0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11.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«Газпром газораспределение Тула» филиал в п. Косая гора от 20.03.2026 № 05-06-ВК/1381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12. Письмо АО «Тулагоргаз» от 01.04.2026 № Исх-1159;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13. Письмо АО «Тулагорводоканал» от </w:t>
      </w:r>
      <w:r>
        <w:rPr>
          <w:rFonts w:ascii="PT Astra Serif" w:hAnsi="PT Astra Serif"/>
          <w:color w:val="000000"/>
          <w:sz w:val="24"/>
          <w:szCs w:val="24"/>
        </w:rPr>
        <w:t>02.03.2026 № 2-25/4702-26;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03.04.2026 № 2-25/7490-26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03.04.2026 № 2-25/7486-26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16.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03.04.2026 № 2-25/7495-26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</w:t>
      </w:r>
      <w:r>
        <w:rPr>
          <w:rFonts w:ascii="PT Astra Serif" w:hAnsi="PT Astra Serif"/>
          <w:color w:val="000000"/>
          <w:sz w:val="24"/>
          <w:szCs w:val="24"/>
        </w:rPr>
        <w:t xml:space="preserve">ние 17. Письмо АО «Тулатеплосеть»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24.02.2026 № 208/1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18. Письмо АО «Тулатеплосеть»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30.03.2026 № 364/5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30.03.2026 № 364/3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АО «Тулатеплосеть» 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>от 30.03.2026 № 364/8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26.02.2026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МР7-ТуЭ/09/2018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22. Письмо Россети Центр Приволжье Тулэнерго от 14.04.2026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МР7-ТуЭ/05-03/4080;</w:t>
      </w:r>
    </w:p>
    <w:p w:rsidR="00A1291E" w:rsidRDefault="00752A6A">
      <w:pPr>
        <w:pStyle w:val="af2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23. Письмо Россети Центр Приволжье Тулэнерго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от 14.04.2026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 xml:space="preserve">№ </w:t>
      </w:r>
      <w:r>
        <w:rPr>
          <w:rFonts w:ascii="PT Astra Serif" w:hAnsi="PT Astra Serif" w:cs="PTAstraSerif-Regular"/>
          <w:color w:val="000000"/>
          <w:sz w:val="24"/>
          <w:szCs w:val="24"/>
        </w:rPr>
        <w:t>МР7-ТуЭ/05-03/4077</w:t>
      </w:r>
    </w:p>
    <w:p w:rsidR="00A1291E" w:rsidRDefault="00752A6A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Россети Центр Приволжье Тулэнерго от 14.04.2026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МР7-ТуЭ/05-03/4081</w:t>
      </w:r>
      <w:r>
        <w:rPr>
          <w:rFonts w:ascii="PT Astra Serif" w:hAnsi="PT Astra Serif" w:cs="PTAstraSerif-Regular"/>
          <w:color w:val="000000"/>
          <w:sz w:val="24"/>
          <w:szCs w:val="24"/>
        </w:rPr>
        <w:t>.</w:t>
      </w:r>
    </w:p>
    <w:p w:rsidR="00A1291E" w:rsidRDefault="00A1291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sectPr w:rsidR="00A1291E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1E"/>
    <w:rsid w:val="00752A6A"/>
    <w:rsid w:val="00A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F58C-A843-4993-A013-F5CD8B34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6294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2026-05-26T15:35:00Z</cp:lastPrinted>
  <dcterms:created xsi:type="dcterms:W3CDTF">2026-05-27T11:27:00Z</dcterms:created>
  <dcterms:modified xsi:type="dcterms:W3CDTF">2026-05-27T11:27:00Z</dcterms:modified>
  <dc:language>ru-RU</dc:language>
</cp:coreProperties>
</file>