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:240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:855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:33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:198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:345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:270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:207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:90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:849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:208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211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40402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:280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71:30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1E64CE" w:rsidRPr="001E64CE">
        <w:rPr>
          <w:rStyle w:val="95pt"/>
          <w:rFonts w:ascii="PT Astra Serif" w:eastAsiaTheme="minorHAnsi" w:hAnsi="PT Astra Serif"/>
          <w:sz w:val="28"/>
          <w:szCs w:val="28"/>
        </w:rPr>
        <w:t>110101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:96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hAnsi="PT Astra Serif"/>
          <w:sz w:val="28"/>
          <w:szCs w:val="28"/>
        </w:rPr>
        <w:t xml:space="preserve">в </w:t>
      </w:r>
      <w:r w:rsidR="001E64CE">
        <w:rPr>
          <w:rFonts w:ascii="PT Astra Serif" w:hAnsi="PT Astra Serif"/>
          <w:sz w:val="28"/>
          <w:szCs w:val="28"/>
          <w:lang w:val="en-US"/>
        </w:rPr>
        <w:t>c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1E64CE">
        <w:rPr>
          <w:rFonts w:ascii="PT Astra Serif" w:hAnsi="PT Astra Serif"/>
          <w:sz w:val="28"/>
          <w:szCs w:val="28"/>
          <w:lang w:eastAsia="ru-RU"/>
        </w:rPr>
        <w:t>Маслово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1E64CE">
        <w:rPr>
          <w:rFonts w:ascii="PT Astra Serif" w:hAnsi="PT Astra Serif" w:cs="Times New Roman"/>
          <w:sz w:val="28"/>
          <w:szCs w:val="28"/>
        </w:rPr>
        <w:t>,</w:t>
      </w:r>
      <w:r w:rsidR="001E64CE">
        <w:rPr>
          <w:rFonts w:ascii="PT Astra Serif" w:hAnsi="PT Astra Serif" w:cs="Times New Roman"/>
          <w:sz w:val="28"/>
          <w:szCs w:val="28"/>
        </w:rPr>
        <w:br/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1783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8F88-2561-4105-AA02-8BEF58EA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2025-09-01T06:55:00Z</dcterms:created>
  <dcterms:modified xsi:type="dcterms:W3CDTF">2025-09-01T06:55:00Z</dcterms:modified>
</cp:coreProperties>
</file>